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0B" w:rsidRPr="00001139" w:rsidRDefault="0035120B" w:rsidP="0035120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001139">
        <w:rPr>
          <w:rFonts w:ascii="Times New Roman" w:eastAsia="Calibri" w:hAnsi="Times New Roman"/>
          <w:sz w:val="28"/>
          <w:szCs w:val="28"/>
          <w:lang w:eastAsia="en-US"/>
        </w:rPr>
        <w:t>Сводный отчет</w:t>
      </w:r>
    </w:p>
    <w:p w:rsidR="0035120B" w:rsidRPr="00001139" w:rsidRDefault="0035120B" w:rsidP="0035120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01139">
        <w:rPr>
          <w:rFonts w:ascii="Times New Roman" w:eastAsia="Calibri" w:hAnsi="Times New Roman"/>
          <w:sz w:val="28"/>
          <w:szCs w:val="28"/>
          <w:lang w:eastAsia="en-US"/>
        </w:rPr>
        <w:t>о проведении оценки регулирующего воздействие проектов</w:t>
      </w:r>
    </w:p>
    <w:p w:rsidR="0035120B" w:rsidRPr="00001139" w:rsidRDefault="0035120B" w:rsidP="0035120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01139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</w:t>
      </w:r>
    </w:p>
    <w:p w:rsidR="0035120B" w:rsidRPr="00001139" w:rsidRDefault="0035120B" w:rsidP="0035120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1953"/>
        <w:gridCol w:w="567"/>
        <w:gridCol w:w="1133"/>
        <w:gridCol w:w="2834"/>
        <w:gridCol w:w="995"/>
      </w:tblGrid>
      <w:tr w:rsidR="0035120B" w:rsidRPr="00001139" w:rsidTr="00B80345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Общая информация о проекте акта</w:t>
            </w:r>
          </w:p>
        </w:tc>
      </w:tr>
      <w:tr w:rsidR="0035120B" w:rsidRPr="00001139" w:rsidTr="00B8034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1.1. Вид и наименование проекта нормативного правового акта </w:t>
            </w:r>
            <w:hyperlink r:id="rId5" w:history="1">
              <w:r w:rsidRPr="00001139">
                <w:rPr>
                  <w:rFonts w:ascii="Times New Roman" w:eastAsia="Calibri" w:hAnsi="Times New Roman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Совета депутатов "Об утверждении базовой ставки арендной платы за использование муниципальных нежилых помещений, находящихся в собственности городского округа Красногорск Московской области"</w:t>
            </w:r>
          </w:p>
        </w:tc>
      </w:tr>
      <w:tr w:rsidR="0035120B" w:rsidRPr="00001139" w:rsidTr="00B80345"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1.2.Разработчик проекта муниципального правового акта </w:t>
            </w:r>
            <w:hyperlink r:id="rId6" w:history="1">
              <w:r w:rsidRPr="00001139">
                <w:rPr>
                  <w:rFonts w:ascii="Times New Roman" w:eastAsia="Calibri" w:hAnsi="Times New Roman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C84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35120B" w:rsidRPr="00001139" w:rsidTr="00B80345">
        <w:tc>
          <w:tcPr>
            <w:tcW w:w="5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 Степень регулирующего воздействия проекта акта: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463D82">
        <w:tc>
          <w:tcPr>
            <w:tcW w:w="5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463D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5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 Сроки размещения уведомления: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23.04.2024</w:t>
            </w:r>
          </w:p>
        </w:tc>
      </w:tr>
      <w:tr w:rsidR="0035120B" w:rsidRPr="00001139" w:rsidTr="00B80345"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1.5. Сроки проведения публичных обсуждений проекта акта: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06.05.2024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Краткое описание проблемы и способов ее решения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1" w:name="Par32"/>
            <w:bookmarkEnd w:id="1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 Краткое описание проблемы, на решение которой направлен предлагаемый способ регулирования: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Заполняется на основании информации, указанной в </w:t>
            </w:r>
            <w:hyperlink w:anchor="Par184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пункте 3.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color w:val="0000FF"/>
                <w:sz w:val="28"/>
                <w:szCs w:val="28"/>
                <w:lang w:eastAsia="en-US"/>
              </w:rPr>
              <w:t>8</w:t>
            </w: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2.2. Каким образом предлагается решить указанную в </w:t>
            </w:r>
            <w:hyperlink w:anchor="Par32" w:history="1">
              <w:r w:rsidRPr="00001139">
                <w:rPr>
                  <w:rFonts w:ascii="Times New Roman" w:eastAsia="Calibri" w:hAnsi="Times New Roman"/>
                  <w:color w:val="0000FF"/>
                  <w:sz w:val="28"/>
                  <w:szCs w:val="28"/>
                  <w:lang w:eastAsia="en-US"/>
                </w:rPr>
                <w:t>пункте 2.</w:t>
              </w:r>
            </w:hyperlink>
            <w:r w:rsidRPr="00001139">
              <w:rPr>
                <w:rFonts w:ascii="Times New Roman" w:eastAsia="Calibri" w:hAnsi="Times New Roman"/>
                <w:color w:val="0000FF"/>
                <w:sz w:val="28"/>
                <w:szCs w:val="28"/>
                <w:lang w:eastAsia="en-US"/>
              </w:rPr>
              <w:t>1</w:t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проблему?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Опишите предполагаемый способ регулирования. Заполняется на основании </w:t>
            </w: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lastRenderedPageBreak/>
              <w:t xml:space="preserve">информации, указанной в </w:t>
            </w:r>
            <w:hyperlink w:anchor="Par216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пункте 3.1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color w:val="0000FF"/>
                <w:sz w:val="28"/>
                <w:szCs w:val="28"/>
                <w:lang w:eastAsia="en-US"/>
              </w:rPr>
              <w:t>2</w:t>
            </w: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 На кого будет направлено предлагаемое регулирование?</w:t>
            </w:r>
          </w:p>
        </w:tc>
      </w:tr>
      <w:tr w:rsidR="0035120B" w:rsidRPr="00001139" w:rsidTr="00B80345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Субъекты предпринимательской и иной экономической деятельности </w:t>
            </w:r>
            <w:hyperlink r:id="rId8" w:history="1">
              <w:r w:rsidRPr="00001139">
                <w:rPr>
                  <w:rFonts w:ascii="Times New Roman" w:eastAsia="Calibri" w:hAnsi="Times New Roman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C846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Конкретизируйте группы субъектов регулирования</w:t>
            </w:r>
          </w:p>
        </w:tc>
      </w:tr>
      <w:tr w:rsidR="0035120B" w:rsidRPr="00001139" w:rsidTr="00B80345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C8465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Субъекты малого и среднего предпринимательства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</w:tc>
      </w:tr>
      <w:tr w:rsidR="0035120B" w:rsidRPr="00001139" w:rsidTr="00B8034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rPr>
          <w:trHeight w:val="32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самоуправления, в том числе бюджетные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Заполняется на основании информации, указанной в </w:t>
            </w:r>
            <w:hyperlink w:anchor="Par242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пункте 4.1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 Вид контроля и (или) форма оценки соблюдения требований (при наличии):</w:t>
            </w:r>
            <w:r w:rsidR="00C84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 Ответственность за неисполнение положений проекта акта (при наличии):</w:t>
            </w:r>
            <w:r w:rsidR="00C846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</w:t>
            </w:r>
          </w:p>
        </w:tc>
      </w:tr>
      <w:tr w:rsidR="0035120B" w:rsidRPr="00001139" w:rsidTr="00B80345"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2.6. Проект акта относится к соответствующей сфере общественных отношений согласно утвержденному на соответствующий год плану проведения оценки применения обязательных требований </w:t>
            </w: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(присваивается высокая степень регулирующего воздействия)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color w:val="FF0000"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2.7. Проект акта разработан в целях снижения затрат субъектов регулирования на исполнение ранее установленных обязательных требований и не предусматривает установление новых условий, ограничений, запретов, обязанностей </w:t>
            </w: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(присваивается низкая степень регулирующего воздействия)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5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2.8. Содержатся ли в проекте акта обязательные требования?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5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Если да, то перечислите основные обязательные требования, которые повлекут за собой затраты субъектов регулирования: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место для текстового описания (максимум 7 строк)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Заполняется на основании информации, указанной в </w:t>
            </w:r>
            <w:hyperlink w:anchor="Par164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пункте 3.5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2.9. Какое влияние окажет введение предполагаемого регулирования на местный бюджет городского округа Красногорск?</w:t>
            </w:r>
          </w:p>
        </w:tc>
      </w:tr>
      <w:tr w:rsidR="0035120B" w:rsidRPr="00001139" w:rsidTr="00B80345"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lastRenderedPageBreak/>
              <w:t xml:space="preserve">Заполняется на основе информации, указанной в </w:t>
            </w:r>
            <w:hyperlink w:anchor="Par281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разделе 5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</w:t>
            </w:r>
          </w:p>
        </w:tc>
      </w:tr>
      <w:tr w:rsidR="0035120B" w:rsidRPr="00001139" w:rsidTr="00B80345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увеличатся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1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3" w:rsidRPr="00425023" w:rsidRDefault="00425023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425023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100%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(необходимо указать уровень бюджета)</w:t>
            </w:r>
          </w:p>
        </w:tc>
      </w:tr>
      <w:tr w:rsidR="0035120B" w:rsidRPr="00001139" w:rsidTr="00B80345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снизятся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увеличатся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3" w:rsidRDefault="00425023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(необходимо указать уровень бюджета)</w:t>
            </w:r>
          </w:p>
        </w:tc>
      </w:tr>
      <w:tr w:rsidR="0035120B" w:rsidRPr="00001139" w:rsidTr="00B80345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снизятся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окажет влияния на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3" w:rsidRDefault="00425023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(необходимо кратко обосновать выбор)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2"/>
        <w:gridCol w:w="1420"/>
      </w:tblGrid>
      <w:tr w:rsidR="0035120B" w:rsidRPr="00001139" w:rsidTr="00B80345">
        <w:tc>
          <w:tcPr>
            <w:tcW w:w="9356" w:type="dxa"/>
            <w:gridSpan w:val="3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проекте акта и степени его регулирующего воздействия</w:t>
            </w:r>
          </w:p>
        </w:tc>
      </w:tr>
      <w:tr w:rsidR="0035120B" w:rsidRPr="00001139" w:rsidTr="00B80345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35120B" w:rsidRPr="00001139" w:rsidRDefault="0035120B" w:rsidP="0042502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 Указание критериев выбора высокой степени регулирующего воздействия проекта акта:</w:t>
            </w: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Наличие в проекте акта ОТ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Поле для выбора ответа</w:t>
            </w:r>
          </w:p>
        </w:tc>
      </w:tr>
      <w:tr w:rsidR="0035120B" w:rsidRPr="00001139" w:rsidTr="00B803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субъектов регулирования на соблюдение обязательных требований за 6 лет с предполагаемой даты вступления в силу проекта акта составят более 3 млрд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(в соответствии с расчетом в </w:t>
            </w:r>
            <w:hyperlink w:anchor="Par241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разделе 4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акта относится к сфере общественных отношений, включенной в план проведения оценки применения обязательных требований в соответствующем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затрат исходя из низкой степени регулирующего воздействия не была согласована рабочей группой по сферам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 акта устанавливает либо способствует установлению ранее не предусмотренных нормативными правовыми актами городского округа Красногорск, запретов и ограничений для субъектов регулирования, приводит к возникновению ранее не </w:t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предусмотренных нормативными правовыми актами городского округа Красногорск расходов субъектов регулирования, устанавливает ранее не предусмотренные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к осуществлению полномочий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>
                  <wp:extent cx="254000" cy="336550"/>
                  <wp:effectExtent l="0" t="0" r="0" b="6350"/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2"/>
        <w:gridCol w:w="1420"/>
      </w:tblGrid>
      <w:tr w:rsidR="0035120B" w:rsidRPr="00001139" w:rsidTr="00B80345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35120B" w:rsidRPr="00001139" w:rsidRDefault="0035120B" w:rsidP="002574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 Указание критериев выбора средней степени регулирующего воздействия проекта акта:</w:t>
            </w: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Наличие в проекте акта ОТ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Поле для выбора ответа</w:t>
            </w:r>
          </w:p>
        </w:tc>
      </w:tr>
      <w:tr w:rsidR="0035120B" w:rsidRPr="00001139" w:rsidTr="00B803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субъектов регулирования на соблюдение обязательных требований за 6 лет с предполагаемой даты вступления в силу проекта акта составят от 300 млн до 3 млрд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(в соответствии с расчетом в </w:t>
            </w:r>
            <w:hyperlink w:anchor="Par241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разделе 4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Оценка затрат исходя из низкой степени регулирующего воздействия не была согласована рабочей группой по сферам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 акта изменяет положения, ранее предусмотренные законодательством Российской Федерации и иными нормативными правовыми актами городского округа Красногорск и содержащие обязанности, запреты и ограничения для субъектов регулирования, способствует их установлению, и (или) приводит к увеличению ранее предусмотренных законодательством Российской Федерации и иными нормативными правовыми актами городского округа Красногорск расходов субъектов регулирования, и (или) изменяет положения, устанавливающие требования к осуществлению полномочий органов государственной власти субъектов Российской Федерации по предметам совместного ведения </w:t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 и субъектов Российской Федерации и осуществлению полномочий органов местного самоуправления, ранее предусмотренные законодательством Российской Федерации и иными нормативными правовыми актами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lastRenderedPageBreak/>
              <w:drawing>
                <wp:inline distT="0" distB="0" distL="0" distR="0">
                  <wp:extent cx="254000" cy="336550"/>
                  <wp:effectExtent l="0" t="0" r="0" b="635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2"/>
        <w:gridCol w:w="1420"/>
      </w:tblGrid>
      <w:tr w:rsidR="0035120B" w:rsidRPr="00001139" w:rsidTr="00B80345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 Указание критериев выбора низкой степени регулирующего воздействия проекта акта:</w:t>
            </w: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Наличие в проекте акта ОТ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Поле для выбора ответа</w:t>
            </w:r>
          </w:p>
        </w:tc>
      </w:tr>
      <w:tr w:rsidR="0035120B" w:rsidRPr="00001139" w:rsidTr="00B803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Затраты субъектов регулирования на соблюдение обязательных требований за 6 лет с предполагаемой даты вступления в силу проекта акта составят менее 300 млн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(в соответствии с расчетом в </w:t>
            </w:r>
            <w:hyperlink w:anchor="Par241" w:history="1">
              <w:r w:rsidRPr="00001139">
                <w:rPr>
                  <w:rFonts w:ascii="Times New Roman" w:eastAsia="Calibri" w:hAnsi="Times New Roman"/>
                  <w:i/>
                  <w:iCs/>
                  <w:color w:val="0000FF"/>
                  <w:sz w:val="28"/>
                  <w:szCs w:val="28"/>
                  <w:lang w:eastAsia="en-US"/>
                </w:rPr>
                <w:t>разделе 4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сводного отчета)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акта разработан в целях снижения затрат субъектов регулирования на исполнение ранее установленных обязательных требований и не предусматривает установления новых условий, ограничений, запретов, обязанностей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B803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Необходимо приложить обоснование в соответствии с </w:t>
            </w:r>
            <w:hyperlink r:id="rId9" w:history="1">
              <w:r w:rsidRPr="00001139">
                <w:rPr>
                  <w:rFonts w:ascii="Times New Roman" w:eastAsia="Calibri" w:hAnsi="Times New Roman"/>
                  <w:i/>
                  <w:iCs/>
                  <w:sz w:val="28"/>
                  <w:szCs w:val="28"/>
                  <w:lang w:eastAsia="en-US"/>
                </w:rPr>
                <w:t>Приложением N 2</w:t>
              </w:r>
            </w:hyperlink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к форме сводного отчета о проведении оценки регулирующего воздействия проектов актов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 акта не устанавливает и не способствует установлению ранее не предусмотренных нормативными правовыми актами городского округа Красногорск обязанностей, запретов и ограничений для субъектов регулирования, а также не содержит положения, изменяющие ранее предусмотренные законодательством Российской Федерации и иными нормативными правовыми актами городского округа Красногорск обязанностей, запреты и ограничения для субъектов регулирования, не приводит к возникновению ранее не предусмотренных нормативными правовыми актами Российской </w:t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Федерации расходов субъектов регулирования, не устанавливает ранее не предусмотренные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к осуществлению полномочий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lastRenderedPageBreak/>
              <w:drawing>
                <wp:inline distT="0" distB="0" distL="0" distR="0">
                  <wp:extent cx="254000" cy="336550"/>
                  <wp:effectExtent l="0" t="0" r="0" b="6350"/>
                  <wp:docPr id="2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5120B" w:rsidRPr="00001139" w:rsidTr="00B80345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 Оценка соблюдения принципов и условий установления обязательных требований (при наличии):</w:t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Законность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Правовая определенность и системность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Открытость и предсказуемость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Исполнимость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0B" w:rsidRPr="00001139" w:rsidTr="005143D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5143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Условия установления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2" w:name="Par164"/>
            <w:bookmarkEnd w:id="2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 Новые (изменяемые) обязательные требования, иные обязанности или ограничения, преимущества для субъектов регулирования, информация об отмене требований, иных обязанностей или ограничений для субъектов регулирования: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4035C4" w:rsidP="004035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Утрата </w:t>
            </w:r>
            <w:r w:rsidRPr="004035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4035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Совета депутатов от 30.11.2017 № 319/20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035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 утверждении базовой ставки арендной платы за использование муниципальных нежилых помещений и муниципального имущества, находящихся в собственности Красногорского муниципального района»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3.6. Информация об отмене обязательных требований, иных обязанностей или ограничений для субъектов регулирования: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4035C4" w:rsidP="00403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3.7. Перечень видов (групп) общественных отношений, затрагиваемых проектируемым регулированием</w:t>
            </w:r>
            <w:r w:rsidRPr="00001139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E65CC1" w:rsidP="00E65C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Договорные отношения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3" w:name="Par184"/>
            <w:bookmarkEnd w:id="3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4035C4" w:rsidP="00403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3.9. Цели предлагаемого регулирования и срок их достижения: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5120B" w:rsidRPr="00001139" w:rsidTr="00B803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Цели предлагаемого регулирования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Ожидаемый срок достижения цели</w:t>
            </w:r>
          </w:p>
        </w:tc>
      </w:tr>
      <w:tr w:rsidR="0035120B" w:rsidRPr="00001139" w:rsidTr="00326D1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базовой ставки арендной платы за 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использование муниципальных нежилых помещений, находящихся в собственности городского округа Красногорск Московской 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01.07.2024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E65CC1" w:rsidP="00E65C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3.10. Обоснование соответствия принципам правового регулирования, программным документам Президента Российской Федерации </w:t>
            </w:r>
            <w:r w:rsid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Правительства Российской Федерации: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Принятие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ешения 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епутатов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осуществляется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соответствии с законодательством Российской Федерации и Московской области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3.11. Индикативные показатели, программы мониторинга и иные способы (методы) оценки достижения заявленных целей регулирования: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39"/>
        <w:gridCol w:w="3628"/>
      </w:tblGrid>
      <w:tr w:rsidR="0035120B" w:rsidRPr="00001139" w:rsidTr="00B803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Индикативные показатели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Единицы измерения индикативных показателей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Способы расчета индикативных показателей и источники информации</w:t>
            </w:r>
          </w:p>
        </w:tc>
      </w:tr>
      <w:tr w:rsidR="0035120B" w:rsidRPr="00001139" w:rsidTr="00B803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26D1E" w:rsidP="00326D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4" w:name="Par216"/>
            <w:bookmarkEnd w:id="4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3.12. Описание предлагаемого регулирования и иных возможных способов решения проблемы: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4035C4" w:rsidP="004035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3.13. Риски решения проблемы предложенным способом регулирования и риски негативных последствий: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EC4104" w:rsidP="00EC41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Отказ от договора аренды 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нежил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326D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помещени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3.14. Обоснование соразмерности затрат на исполнение обязательных требований лицами, в отношении которых они устанавливаются, </w:t>
            </w:r>
            <w:r w:rsid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рисками, предотвращаемыми э</w:t>
            </w:r>
            <w:r w:rsid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тими обязательными требованиями</w:t>
            </w: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5" w:rsidRPr="001C42A5" w:rsidRDefault="001C42A5" w:rsidP="001C42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данных об аренд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</w:t>
            </w:r>
            <w:r w:rsidRP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 ставках показал, что среднее значение арендных ставок объектов недвижимости коммерческого назначения, расположенных в г.о. Красногорск Московской области составляет 256 </w:t>
            </w:r>
            <w:r w:rsidRP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руб./м2/мес. (без учета НДС, коммунальных и эксплуатационных расходов, торга и иных ценообразующих факторов).</w:t>
            </w:r>
          </w:p>
          <w:p w:rsidR="0035120B" w:rsidRPr="00001139" w:rsidRDefault="001C42A5" w:rsidP="001C42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42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учетом утвержденной на сегодняшний день базовой ставки арендной платы с учетом понижающих коэффициентов видов деятельности среднее значение арендной ставки составляет 110,46 руб./м2/мес.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lastRenderedPageBreak/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5" w:name="Par241"/>
            <w:bookmarkEnd w:id="5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Анализ затрат субъектов регулирования</w:t>
            </w:r>
          </w:p>
        </w:tc>
      </w:tr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6" w:name="Par242"/>
            <w:bookmarkEnd w:id="6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 Основные группы субъектов регулирования,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3118"/>
        <w:gridCol w:w="3401"/>
      </w:tblGrid>
      <w:tr w:rsidR="0035120B" w:rsidRPr="00001139" w:rsidTr="00B8034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Подгруппа участников отношений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подгруппы участников отношений</w:t>
            </w:r>
          </w:p>
        </w:tc>
      </w:tr>
      <w:tr w:rsidR="0035120B" w:rsidRPr="00001139" w:rsidTr="00B803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Субъекты регулирования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465D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  <w:highlight w:val="yellow"/>
              </w:rPr>
              <w:drawing>
                <wp:inline distT="0" distB="0" distL="0" distR="0">
                  <wp:extent cx="254000" cy="336550"/>
                  <wp:effectExtent l="0" t="0" r="0" b="6350"/>
                  <wp:docPr id="3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Подгруппа 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Численность подгруппы 1</w:t>
            </w:r>
          </w:p>
          <w:p w:rsidR="000C4321" w:rsidRPr="000C4321" w:rsidRDefault="000C4321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</w:t>
            </w:r>
          </w:p>
        </w:tc>
      </w:tr>
      <w:tr w:rsidR="0035120B" w:rsidRPr="00001139" w:rsidTr="00B803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...</w:t>
            </w:r>
          </w:p>
        </w:tc>
      </w:tr>
      <w:tr w:rsidR="0035120B" w:rsidRPr="00001139" w:rsidTr="00B803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Федеральные органы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5C55BD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54000" cy="336550"/>
                  <wp:effectExtent l="0" t="0" r="0" b="635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 Оценка затрат (расходов) и доходов субъектов регулирования, связанных с необходимостью соблюдения обязательных требований, иных установленных обязанностей или ограничений либо с изменением содержания обязательных требований, обязанностей или ограничений: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984"/>
        <w:gridCol w:w="2267"/>
      </w:tblGrid>
      <w:tr w:rsidR="0035120B" w:rsidRPr="00001139" w:rsidTr="00B8034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(или другие обязанности и ограничения)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Подгруппа субъектов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Значение затрат в год,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Значение затрат на 6 лет, руб.</w:t>
            </w:r>
          </w:p>
        </w:tc>
      </w:tr>
      <w:tr w:rsidR="0035120B" w:rsidRPr="00001139" w:rsidTr="00B8034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ind w:left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 порядка расчета)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7" w:name="Par281"/>
            <w:bookmarkEnd w:id="7"/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Анализ влияния на бюджет городского округа Красногорск</w:t>
            </w:r>
          </w:p>
        </w:tc>
      </w:tr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 Новые функции (полномочия) городского округа Красногорск или сведения об их изменении, порядок их реализации, а также оценка дополнительных расходов бюджета городского округа Красногорск, а также снижения доходов бюджета городского округа Красногорск: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2835"/>
        <w:gridCol w:w="2410"/>
      </w:tblGrid>
      <w:tr w:rsidR="0035120B" w:rsidRPr="00001139" w:rsidTr="00B8034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Новые или изменяемые функции (полномочия), порядок их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Монетарная оценка снижения доходов/увеличения расходов, руб.</w:t>
            </w:r>
          </w:p>
        </w:tc>
      </w:tr>
      <w:tr w:rsidR="0035120B" w:rsidRPr="00001139" w:rsidTr="00B80345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государственной власти субъектов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Доходы:</w:t>
            </w:r>
          </w:p>
        </w:tc>
      </w:tr>
      <w:tr w:rsidR="0035120B" w:rsidRPr="00001139" w:rsidTr="00B8034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Расходы:</w:t>
            </w:r>
          </w:p>
        </w:tc>
      </w:tr>
      <w:tr w:rsidR="0035120B" w:rsidRPr="00001139" w:rsidTr="000C4321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35120B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Базовая ставка арендной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0C43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Доходы:</w:t>
            </w:r>
            <w:r w:rsidR="000C4321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20B" w:rsidRPr="00001139" w:rsidTr="00B8034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Расходы:</w:t>
            </w:r>
            <w:r w:rsidR="006D65DF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20B" w:rsidRPr="00001139" w:rsidTr="00B80345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Бюджетные учреждения, за исключением учреждений, финансируемых исключительно за счет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Доходы:</w:t>
            </w:r>
          </w:p>
        </w:tc>
      </w:tr>
      <w:tr w:rsidR="0035120B" w:rsidRPr="00001139" w:rsidTr="00B8034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Расходы: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0C432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 Сведения о предполагаемых источниках компенсации расходов на исполнение новых или изменяемых функций (полномочий) городского округа Красногорск: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0C4321" w:rsidP="000C43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 Анализ влияния последствий реализации проекта акта на экономическое развитие отраслей экономики и социальной сферы городского округа Красногорск: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6D65DF" w:rsidP="006D65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Дополнительные сведения о предлагаемом регулировании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6D65DF" w:rsidP="006D65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5120B" w:rsidRPr="00001139" w:rsidTr="00B80345">
        <w:tc>
          <w:tcPr>
            <w:tcW w:w="9070" w:type="dxa"/>
            <w:tcBorders>
              <w:top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 Организационные сведения о проекте акта</w:t>
            </w:r>
          </w:p>
        </w:tc>
      </w:tr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 Предполагаемая дата вступления в силу проекта акта, необходимость установления переходных положений (переходного периода)</w:t>
            </w:r>
            <w:r w:rsidRPr="00001139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Предполагаемая дата вступления в силу проекта акта: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24.05.2024</w:t>
            </w:r>
          </w:p>
        </w:tc>
      </w:tr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Необходимость установления переходных положений и срока переходного периода: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5120B" w:rsidRPr="00001139" w:rsidTr="00B80345">
        <w:tc>
          <w:tcPr>
            <w:tcW w:w="907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Контактная информация исполнителя разработчика: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Цуверкалов Иван Леонидович</w:t>
            </w:r>
          </w:p>
        </w:tc>
      </w:tr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управления муниципальной собственностью</w:t>
            </w:r>
          </w:p>
        </w:tc>
      </w:tr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Структурное подразделение: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земельно-имущественных отношений</w:t>
            </w:r>
          </w:p>
        </w:tc>
      </w:tr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Тел.: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84955630352</w:t>
            </w:r>
          </w:p>
        </w:tc>
      </w:tr>
      <w:tr w:rsidR="0035120B" w:rsidRPr="00001139" w:rsidTr="00B803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0B" w:rsidRPr="00001139" w:rsidRDefault="00B80345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0" w:history="1">
              <w:r w:rsidRPr="009B0E80">
                <w:rPr>
                  <w:rStyle w:val="a3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tsuverkalov</w:t>
              </w:r>
              <w:r w:rsidRPr="009B0E80">
                <w:rPr>
                  <w:rStyle w:val="a3"/>
                  <w:rFonts w:ascii="Times New Roman" w:eastAsia="Calibri" w:hAnsi="Times New Roman"/>
                  <w:sz w:val="28"/>
                  <w:szCs w:val="28"/>
                  <w:lang w:eastAsia="en-US"/>
                </w:rPr>
                <w:t>@</w:t>
              </w:r>
              <w:r w:rsidRPr="009B0E80">
                <w:rPr>
                  <w:rStyle w:val="a3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kradm</w:t>
              </w:r>
              <w:r w:rsidRPr="009B0E80">
                <w:rPr>
                  <w:rStyle w:val="a3"/>
                  <w:rFonts w:ascii="Times New Roman" w:eastAsia="Calibri" w:hAnsi="Times New Roman"/>
                  <w:sz w:val="28"/>
                  <w:szCs w:val="28"/>
                  <w:lang w:eastAsia="en-US"/>
                </w:rPr>
                <w:t>.</w:t>
              </w:r>
              <w:r w:rsidRPr="009B0E80">
                <w:rPr>
                  <w:rStyle w:val="a3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0"/>
        <w:gridCol w:w="2550"/>
      </w:tblGrid>
      <w:tr w:rsidR="0035120B" w:rsidRPr="00001139" w:rsidTr="00B80345">
        <w:tc>
          <w:tcPr>
            <w:tcW w:w="3969" w:type="dxa"/>
            <w:vAlign w:val="bottom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структурного подразделения разработчика, ответственного за подготовку проекта акта</w:t>
            </w:r>
          </w:p>
        </w:tc>
        <w:tc>
          <w:tcPr>
            <w:tcW w:w="255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120B" w:rsidRPr="00001139" w:rsidTr="00B80345">
        <w:tc>
          <w:tcPr>
            <w:tcW w:w="3969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255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0" w:type="dxa"/>
          </w:tcPr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</w:t>
            </w:r>
          </w:p>
          <w:p w:rsidR="0035120B" w:rsidRPr="00001139" w:rsidRDefault="0035120B" w:rsidP="00B803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11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35120B" w:rsidRPr="00001139" w:rsidRDefault="0035120B" w:rsidP="0035120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120B" w:rsidRPr="00001139" w:rsidRDefault="0035120B" w:rsidP="0035120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1139">
        <w:rPr>
          <w:rFonts w:ascii="Times New Roman" w:eastAsia="Calibri" w:hAnsi="Times New Roman"/>
          <w:sz w:val="28"/>
          <w:szCs w:val="28"/>
          <w:lang w:eastAsia="en-US"/>
        </w:rPr>
        <w:t>&lt;1&gt; Далее - проект акта.</w:t>
      </w:r>
    </w:p>
    <w:p w:rsidR="0035120B" w:rsidRPr="00001139" w:rsidRDefault="0035120B" w:rsidP="0035120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1139">
        <w:rPr>
          <w:rFonts w:ascii="Times New Roman" w:eastAsia="Calibri" w:hAnsi="Times New Roman"/>
          <w:sz w:val="28"/>
          <w:szCs w:val="28"/>
          <w:lang w:eastAsia="en-US"/>
        </w:rPr>
        <w:t>&lt;2&gt; Далее - разработчик.</w:t>
      </w:r>
    </w:p>
    <w:p w:rsidR="00CC199C" w:rsidRDefault="0035120B" w:rsidP="0035120B">
      <w:pPr>
        <w:ind w:firstLine="540"/>
      </w:pPr>
      <w:r w:rsidRPr="00001139">
        <w:rPr>
          <w:rFonts w:ascii="Times New Roman" w:eastAsia="Calibri" w:hAnsi="Times New Roman"/>
          <w:sz w:val="28"/>
          <w:szCs w:val="28"/>
          <w:lang w:eastAsia="en-US"/>
        </w:rPr>
        <w:t>&lt;3&gt; Далее - субъекты регулирования.</w:t>
      </w:r>
    </w:p>
    <w:sectPr w:rsidR="00CC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B"/>
    <w:rsid w:val="00001139"/>
    <w:rsid w:val="000C4321"/>
    <w:rsid w:val="001C42A5"/>
    <w:rsid w:val="002574B6"/>
    <w:rsid w:val="00326D1E"/>
    <w:rsid w:val="0035120B"/>
    <w:rsid w:val="004035C4"/>
    <w:rsid w:val="00425023"/>
    <w:rsid w:val="00463D82"/>
    <w:rsid w:val="004C78D6"/>
    <w:rsid w:val="005143D3"/>
    <w:rsid w:val="005C55BD"/>
    <w:rsid w:val="006D65DF"/>
    <w:rsid w:val="00B80345"/>
    <w:rsid w:val="00C8465D"/>
    <w:rsid w:val="00CC199C"/>
    <w:rsid w:val="00E65CC1"/>
    <w:rsid w:val="00E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6BFF-256F-4B3E-AB0F-17CE5B54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0B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0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281&amp;dst=100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0281&amp;dst=1005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281&amp;dst=100555" TargetMode="External"/><Relationship Id="rId10" Type="http://schemas.openxmlformats.org/officeDocument/2006/relationships/hyperlink" Target="mailto:tsuverkalov@k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281&amp;dst=10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CC66-5013-439C-AAA1-A91B4CA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Links>
    <vt:vector size="84" baseType="variant">
      <vt:variant>
        <vt:i4>6422603</vt:i4>
      </vt:variant>
      <vt:variant>
        <vt:i4>39</vt:i4>
      </vt:variant>
      <vt:variant>
        <vt:i4>0</vt:i4>
      </vt:variant>
      <vt:variant>
        <vt:i4>5</vt:i4>
      </vt:variant>
      <vt:variant>
        <vt:lpwstr>mailto:tsuverkalov@kradm.ru</vt:lpwstr>
      </vt:variant>
      <vt:variant>
        <vt:lpwstr/>
      </vt:variant>
      <vt:variant>
        <vt:i4>3932279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https://login.consultant.ru/link/?req=doc&amp;base=LAW&amp;n=460281&amp;dst=100602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3801202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https://login.consultant.ru/link/?req=doc&amp;base=LAW&amp;n=460281&amp;dst=100557</vt:lpwstr>
      </vt:variant>
      <vt:variant>
        <vt:lpwstr/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https://login.consultant.ru/link/?req=doc&amp;base=LAW&amp;n=460281&amp;dst=100555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https://login.consultant.ru/link/?req=doc&amp;base=LAW&amp;n=460281&amp;dst=100555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Леонидович Цуверкалов</dc:creator>
  <cp:keywords/>
  <dc:description/>
  <cp:lastModifiedBy>Игорь Викторович Новиков</cp:lastModifiedBy>
  <cp:revision>2</cp:revision>
  <dcterms:created xsi:type="dcterms:W3CDTF">2024-04-24T13:32:00Z</dcterms:created>
  <dcterms:modified xsi:type="dcterms:W3CDTF">2024-04-24T13:32:00Z</dcterms:modified>
</cp:coreProperties>
</file>