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7005" w14:textId="77777777" w:rsidR="00521332" w:rsidRDefault="00521332" w:rsidP="00FC29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14:paraId="0D654C65" w14:textId="0230679B" w:rsidR="00397E25" w:rsidRPr="002F4E23" w:rsidRDefault="00521332" w:rsidP="00397E2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14:paraId="650AA312" w14:textId="42AB70AC" w:rsidR="00521332" w:rsidRDefault="00521332" w:rsidP="00397E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  <w:r w:rsidR="0039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="006C709D" w:rsidRPr="006C7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FD7910" w:rsidRP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</w:t>
      </w:r>
      <w:r w:rsidR="00FD7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79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порядка</w:t>
      </w:r>
      <w:r w:rsidR="0039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7E25" w:rsidRPr="0039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размещения временных сооружений или временных конструкций, предназначенных для осуществления торговой деятельности (оказ</w:t>
      </w:r>
      <w:r w:rsidR="0039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ания услуг) </w:t>
      </w:r>
      <w:r w:rsidR="00397E25" w:rsidRPr="0039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городского округа Красногорск Московской области на земельных участках, находящихся в частной собственности</w:t>
      </w:r>
      <w:r w:rsidR="0039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</w:t>
      </w:r>
      <w:r w:rsidR="0039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14:paraId="641EC985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5E74F" w14:textId="5F304336" w:rsidR="00521332" w:rsidRPr="00521332" w:rsidRDefault="00521332" w:rsidP="00760E2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потребительского рынка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городского округа Красногорск Московской области </w:t>
      </w:r>
      <w:r w:rsidR="00FD7910" w:rsidRPr="00FD791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собственности»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14:paraId="25277C12" w14:textId="162290AC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potrebrynok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14:paraId="76CF851E" w14:textId="0EAE40C1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приема предложений: с</w:t>
      </w:r>
      <w:r w:rsidR="00B92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9278C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B9278C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9278C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232D426" w14:textId="46DA9EE1" w:rsidR="00521332" w:rsidRPr="00521332" w:rsidRDefault="00521332" w:rsidP="00760E2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760E21" w:rsidRPr="008873A8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3018035" w14:textId="14AD0C9B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 будет размещена на официальном сайте https://krasnogorskadm.ru/deyatelnost/reg-voz/svod/ не позднее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06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A05942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14:paraId="418CF0F3" w14:textId="77777777"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14:paraId="5704680D" w14:textId="535FEFF5" w:rsidR="00060D6A" w:rsidRDefault="007A71C5" w:rsidP="006C70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</w:pPr>
      <w:r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Описание проблемы, на решение которой направлено </w:t>
      </w:r>
      <w:r w:rsidR="00521332"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предлагаемое</w:t>
      </w:r>
      <w:r w:rsidR="006C7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1332"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правовое регулирование:</w:t>
      </w:r>
      <w:r w:rsidR="00EC3CA3" w:rsidRPr="00EC3CA3">
        <w:t xml:space="preserve"> </w:t>
      </w:r>
    </w:p>
    <w:p w14:paraId="46E5EB90" w14:textId="7E1AAFB5" w:rsidR="00760E21" w:rsidRPr="002F6E0D" w:rsidRDefault="00760E21" w:rsidP="002F6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разработан </w:t>
      </w:r>
      <w:r w:rsid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2F6E0D"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упорядочения размещения временных сооружений или временны</w:t>
      </w:r>
      <w:r w:rsid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конструкций, предназначенных </w:t>
      </w:r>
      <w:r w:rsidR="002F6E0D"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торговой деятельности (оказания услуг) на территории городского округа Красногорск Московской области,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к их размещению и эксплуатации.</w:t>
      </w:r>
    </w:p>
    <w:p w14:paraId="50274608" w14:textId="4D82771C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Цели предлагаемого правов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 регулирования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22E795D" w14:textId="244BB8BF" w:rsidR="00485886" w:rsidRPr="00E9716B" w:rsidRDefault="00485886" w:rsidP="00E9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>обеспечение</w:t>
      </w:r>
      <w:r w:rsidRPr="00D23709">
        <w:rPr>
          <w:rFonts w:ascii="Times New Roman" w:hAnsi="Times New Roman"/>
          <w:iCs/>
          <w:sz w:val="28"/>
          <w:szCs w:val="28"/>
        </w:rPr>
        <w:t xml:space="preserve"> </w:t>
      </w:r>
      <w:r w:rsidR="00064FE7">
        <w:rPr>
          <w:rFonts w:ascii="Times New Roman" w:hAnsi="Times New Roman"/>
          <w:iCs/>
          <w:sz w:val="28"/>
          <w:szCs w:val="28"/>
        </w:rPr>
        <w:t>поряд</w:t>
      </w:r>
      <w:r w:rsidR="00064FE7" w:rsidRPr="00064FE7">
        <w:rPr>
          <w:rFonts w:ascii="Times New Roman" w:hAnsi="Times New Roman"/>
          <w:iCs/>
          <w:sz w:val="28"/>
          <w:szCs w:val="28"/>
        </w:rPr>
        <w:t>к</w:t>
      </w:r>
      <w:r w:rsidR="00064FE7">
        <w:rPr>
          <w:rFonts w:ascii="Times New Roman" w:hAnsi="Times New Roman"/>
          <w:iCs/>
          <w:sz w:val="28"/>
          <w:szCs w:val="28"/>
        </w:rPr>
        <w:t xml:space="preserve">а </w:t>
      </w:r>
      <w:r w:rsidR="002F6E0D" w:rsidRPr="002F6E0D">
        <w:rPr>
          <w:rFonts w:ascii="Times New Roman" w:hAnsi="Times New Roman"/>
          <w:iCs/>
          <w:sz w:val="28"/>
          <w:szCs w:val="28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</w:t>
      </w:r>
      <w:r w:rsidR="00E9716B">
        <w:rPr>
          <w:rFonts w:ascii="Times New Roman" w:hAnsi="Times New Roman"/>
          <w:iCs/>
          <w:sz w:val="28"/>
          <w:szCs w:val="28"/>
        </w:rPr>
        <w:t xml:space="preserve">, </w:t>
      </w:r>
      <w:r w:rsidR="00E9716B"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требования к их размещению и эксплуатации.</w:t>
      </w:r>
    </w:p>
    <w:p w14:paraId="59E926DA" w14:textId="53EED8B3" w:rsidR="002F6E0D" w:rsidRDefault="00521332" w:rsidP="00E9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2F6E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Ожидаемый результат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правового регулирования: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утверждение </w:t>
      </w:r>
      <w:r w:rsidR="00064FE7" w:rsidRPr="00064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</w:t>
      </w:r>
      <w:r w:rsidR="002F6E0D"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</w:t>
      </w:r>
      <w:r w:rsidR="00E971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9716B"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требования к их размещению и эксплуатации.</w:t>
      </w:r>
      <w:bookmarkStart w:id="0" w:name="_GoBack"/>
      <w:bookmarkEnd w:id="0"/>
    </w:p>
    <w:p w14:paraId="33D568D8" w14:textId="6C9383CE" w:rsidR="00060D6A" w:rsidRDefault="00521332" w:rsidP="002F6E0D">
      <w:pPr>
        <w:autoSpaceDE w:val="0"/>
        <w:autoSpaceDN w:val="0"/>
        <w:adjustRightInd w:val="0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2F6E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Действующие нормативные правовые акты, поручения, решения, из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которых вытекает необходимость разработки предлагаемого правового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 в данной области: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980D228" w14:textId="77747B99" w:rsidR="00EF3AFB" w:rsidRPr="002F6E0D" w:rsidRDefault="002F6E0D" w:rsidP="002F6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Действующие нормативные правовые акты, поручения, решения, из которых   вытекает   необходимость   разработки   предлагаемого   правового регулирования в данной области: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1CDC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401CDC" w:rsidRPr="00357BF7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</w:t>
      </w:r>
      <w:r w:rsidR="0074684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Правилами благоустройства территории городского округа Красногорск Московской области, утвержденными решением Совета депутатов городского округа Красногорск Московской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24.09.2020 </w:t>
      </w:r>
      <w:r w:rsidRPr="002F6E0D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 411/34</w:t>
      </w:r>
    </w:p>
    <w:p w14:paraId="05473540" w14:textId="67E4398D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  Планируемый срок вступления в силу проекта муниципального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7D295D8" w14:textId="4D7A032E" w:rsidR="00521332" w:rsidRPr="002F4E23" w:rsidRDefault="00A16BF8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июнь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CB3EC9" w14:textId="77777777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6.  Сведения о необходимости или отсутствии необходимости установления</w:t>
      </w:r>
      <w:r w:rsid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переходного периода: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4346B28" w14:textId="77777777" w:rsidR="00521332" w:rsidRPr="00060D6A" w:rsidRDefault="006D396D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14:paraId="69FF919B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14:paraId="0C81CA5E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14:paraId="0200C31D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091" w14:textId="77777777"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243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A49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14:paraId="3EEB0EA0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2AC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7F6" w14:textId="14534218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принят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C25" w14:textId="6A8BB504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не принят</w:t>
            </w:r>
          </w:p>
        </w:tc>
      </w:tr>
      <w:tr w:rsidR="00D34B0B" w:rsidRPr="002F4E23" w14:paraId="333CF79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907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7.2. Качественная характеристика и оценка численности потенциальных адресатов предлагаемого правового </w:t>
            </w: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9A0" w14:textId="7FEE5DC4" w:rsidR="000939A7" w:rsidRPr="000939A7" w:rsidRDefault="00EF3AFB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Упорядочение </w:t>
            </w:r>
            <w:r w:rsidR="000939A7"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размещения временных сооружений или временных конструкций, предназначенных </w:t>
            </w:r>
          </w:p>
          <w:p w14:paraId="6F5D4E06" w14:textId="73F1C65F" w:rsidR="000939A7" w:rsidRPr="000939A7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для осуществления торговой деятельности (оказания услуг) на территории городского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Московской области</w:t>
            </w: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согласование</w:t>
            </w: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размещения таких сооружений и строений на земельных участках, находящихся в частной собственности, а также требования к их размещению </w:t>
            </w:r>
          </w:p>
          <w:p w14:paraId="4E3ED7A1" w14:textId="69872048" w:rsidR="00D34B0B" w:rsidRPr="00394533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>и эксплуатации.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80E" w14:textId="77777777" w:rsidR="000939A7" w:rsidRPr="000939A7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Упорядочение размещения временных сооружений или временных конструкций, предназначенных </w:t>
            </w:r>
          </w:p>
          <w:p w14:paraId="148C54D2" w14:textId="407BE5B7" w:rsidR="000939A7" w:rsidRPr="000939A7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для осуществления торговой деятельности (оказания услуг) на территории городского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Московской области</w:t>
            </w: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согласование</w:t>
            </w: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размещения таких сооружений и строений на земельных участках, находящихся в частной собственности, а также требования к их размещению </w:t>
            </w:r>
          </w:p>
          <w:p w14:paraId="5BE31F84" w14:textId="682434FE" w:rsidR="00D34B0B" w:rsidRPr="00394533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 эксплуатации</w:t>
            </w:r>
            <w:r w:rsidR="00EF3AFB" w:rsidRPr="00394533">
              <w:rPr>
                <w:rFonts w:ascii="Times New Roman" w:hAnsi="Times New Roman" w:cs="Times New Roman"/>
                <w:sz w:val="27"/>
                <w:szCs w:val="27"/>
              </w:rPr>
              <w:t>, не совершенствуется</w:t>
            </w:r>
          </w:p>
        </w:tc>
      </w:tr>
      <w:tr w:rsidR="00485886" w:rsidRPr="002F4E23" w14:paraId="7BABEF0B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0F5" w14:textId="77777777" w:rsidR="00485886" w:rsidRPr="00394533" w:rsidRDefault="00485886" w:rsidP="00485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19E" w14:textId="12716B44" w:rsidR="000939A7" w:rsidRPr="000939A7" w:rsidRDefault="00485886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Расходы, связанные с </w:t>
            </w:r>
            <w:r w:rsidR="000939A7">
              <w:rPr>
                <w:rFonts w:ascii="Times New Roman" w:hAnsi="Times New Roman" w:cs="Times New Roman"/>
                <w:sz w:val="27"/>
                <w:szCs w:val="27"/>
              </w:rPr>
              <w:t>размещением</w:t>
            </w:r>
            <w:r w:rsidR="000939A7"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временных сооружений или временных конструкций, предназначенных </w:t>
            </w:r>
          </w:p>
          <w:p w14:paraId="4F0CE1D1" w14:textId="51F39DC3" w:rsidR="00485886" w:rsidRPr="00394533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>для осуществления торговой деятельности (оказания услуг)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>согласование размещения таких сооружений и строений на земельных участках, находящихся в частной собственности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E76" w14:textId="3D8271AD" w:rsidR="00485886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14:paraId="26795F54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75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7.4. Оценка расходов (доходов) бюджета городского округа Красногорск, связанных с принятием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A0" w14:textId="6E1A43FC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93C" w14:textId="5A61709A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D34B0B" w:rsidRPr="002F4E23" w14:paraId="0212891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F29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7.5. Оценка возможности достижения заявленных целей принятия проекта муниципального </w:t>
            </w: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2F8" w14:textId="3B0C1A8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Оценка положительная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472" w14:textId="337DF7C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Оценка отрицательная</w:t>
            </w:r>
          </w:p>
        </w:tc>
      </w:tr>
      <w:tr w:rsidR="00D34B0B" w:rsidRPr="002F4E23" w14:paraId="6D54B4EA" w14:textId="77777777" w:rsidTr="00EF3AFB">
        <w:trPr>
          <w:trHeight w:val="11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C33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B61" w14:textId="31CE24F1" w:rsidR="00D34B0B" w:rsidRPr="00394533" w:rsidRDefault="00EF3AFB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Риски 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F0D" w14:textId="3971EA8C" w:rsidR="000939A7" w:rsidRPr="000939A7" w:rsidRDefault="00485886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Риски отказа от </w:t>
            </w:r>
            <w:r w:rsidR="000939A7">
              <w:rPr>
                <w:rFonts w:ascii="Times New Roman" w:hAnsi="Times New Roman" w:cs="Times New Roman"/>
                <w:sz w:val="27"/>
                <w:szCs w:val="27"/>
              </w:rPr>
              <w:t>согласования</w:t>
            </w:r>
            <w:r w:rsidR="00A01CA8">
              <w:rPr>
                <w:rFonts w:ascii="Times New Roman" w:hAnsi="Times New Roman" w:cs="Times New Roman"/>
                <w:sz w:val="27"/>
                <w:szCs w:val="27"/>
              </w:rPr>
              <w:t xml:space="preserve"> размещения </w:t>
            </w:r>
            <w:r w:rsidR="000939A7"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сооружений и строений на земельных участках, находящихся в частной собственности, а также </w:t>
            </w:r>
            <w:r w:rsidR="000939A7">
              <w:rPr>
                <w:rFonts w:ascii="Times New Roman" w:hAnsi="Times New Roman" w:cs="Times New Roman"/>
                <w:sz w:val="27"/>
                <w:szCs w:val="27"/>
              </w:rPr>
              <w:t>от требований</w:t>
            </w:r>
            <w:r w:rsidR="000939A7" w:rsidRPr="000939A7">
              <w:rPr>
                <w:rFonts w:ascii="Times New Roman" w:hAnsi="Times New Roman" w:cs="Times New Roman"/>
                <w:sz w:val="27"/>
                <w:szCs w:val="27"/>
              </w:rPr>
              <w:t xml:space="preserve"> к их размещению </w:t>
            </w:r>
          </w:p>
          <w:p w14:paraId="12E81AB1" w14:textId="030DFE1D" w:rsidR="00D34B0B" w:rsidRPr="00394533" w:rsidRDefault="000939A7" w:rsidP="00093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939A7">
              <w:rPr>
                <w:rFonts w:ascii="Times New Roman" w:hAnsi="Times New Roman" w:cs="Times New Roman"/>
                <w:sz w:val="27"/>
                <w:szCs w:val="27"/>
              </w:rPr>
              <w:t>и эксплуатации.</w:t>
            </w:r>
          </w:p>
        </w:tc>
      </w:tr>
    </w:tbl>
    <w:p w14:paraId="65AD732F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28CDC8" w14:textId="77777777" w:rsidR="00521332" w:rsidRPr="00CC49D1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8.  Иная информация по решению разработчика, относящаяся к сведениям о</w:t>
      </w:r>
      <w:r w:rsidR="00CC49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14:paraId="1A6B473A" w14:textId="77777777"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E302D3" w14:textId="65526A29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14:paraId="47F75DCA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86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58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Перечень вопросов для участников публичных консультаций:</w:t>
            </w:r>
          </w:p>
          <w:p w14:paraId="0EAF37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14:paraId="7300CE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010EEF15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34F6A6B6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756662C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072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14:paraId="0BEEAF8E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94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91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119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D19B66" w14:textId="77777777" w:rsidR="0095515B" w:rsidRPr="00521332" w:rsidRDefault="0095515B">
      <w:pPr>
        <w:rPr>
          <w:rFonts w:ascii="Times New Roman" w:hAnsi="Times New Roman" w:cs="Times New Roman"/>
          <w:sz w:val="28"/>
          <w:szCs w:val="28"/>
        </w:rPr>
      </w:pPr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33E1"/>
    <w:multiLevelType w:val="hybridMultilevel"/>
    <w:tmpl w:val="766219DE"/>
    <w:lvl w:ilvl="0" w:tplc="1246622A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60D6A"/>
    <w:rsid w:val="00064FE7"/>
    <w:rsid w:val="0007452A"/>
    <w:rsid w:val="00091D7E"/>
    <w:rsid w:val="000939A7"/>
    <w:rsid w:val="001247A8"/>
    <w:rsid w:val="001C723F"/>
    <w:rsid w:val="002675D4"/>
    <w:rsid w:val="002D7105"/>
    <w:rsid w:val="002F19D5"/>
    <w:rsid w:val="002F6E0D"/>
    <w:rsid w:val="0031437A"/>
    <w:rsid w:val="00394533"/>
    <w:rsid w:val="00397E25"/>
    <w:rsid w:val="003C16E9"/>
    <w:rsid w:val="00401CDC"/>
    <w:rsid w:val="004619B4"/>
    <w:rsid w:val="00485886"/>
    <w:rsid w:val="00496D63"/>
    <w:rsid w:val="004A079C"/>
    <w:rsid w:val="005016BE"/>
    <w:rsid w:val="00521332"/>
    <w:rsid w:val="00580119"/>
    <w:rsid w:val="0065571E"/>
    <w:rsid w:val="006C709D"/>
    <w:rsid w:val="006D396D"/>
    <w:rsid w:val="00746843"/>
    <w:rsid w:val="00760E21"/>
    <w:rsid w:val="007A71C5"/>
    <w:rsid w:val="007D0826"/>
    <w:rsid w:val="00900C1D"/>
    <w:rsid w:val="0095515B"/>
    <w:rsid w:val="009A004D"/>
    <w:rsid w:val="009C1D31"/>
    <w:rsid w:val="009F0241"/>
    <w:rsid w:val="00A01CA8"/>
    <w:rsid w:val="00A16BF8"/>
    <w:rsid w:val="00A62D5C"/>
    <w:rsid w:val="00AE117E"/>
    <w:rsid w:val="00B9278C"/>
    <w:rsid w:val="00C02CE1"/>
    <w:rsid w:val="00C874F1"/>
    <w:rsid w:val="00C944D5"/>
    <w:rsid w:val="00CC49D1"/>
    <w:rsid w:val="00D07DE0"/>
    <w:rsid w:val="00D34B0B"/>
    <w:rsid w:val="00D461DA"/>
    <w:rsid w:val="00DA7B63"/>
    <w:rsid w:val="00E079C2"/>
    <w:rsid w:val="00E9716B"/>
    <w:rsid w:val="00EA1824"/>
    <w:rsid w:val="00EC1A48"/>
    <w:rsid w:val="00EC3CA3"/>
    <w:rsid w:val="00EF32B1"/>
    <w:rsid w:val="00EF3AFB"/>
    <w:rsid w:val="00F971A5"/>
    <w:rsid w:val="00FC293B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602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7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0E2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adm/deyatelnost/otsenkareg&#1085;liiuyuschego-vozdey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215_3</cp:lastModifiedBy>
  <cp:revision>15</cp:revision>
  <cp:lastPrinted>2025-06-18T10:57:00Z</cp:lastPrinted>
  <dcterms:created xsi:type="dcterms:W3CDTF">2025-02-24T08:24:00Z</dcterms:created>
  <dcterms:modified xsi:type="dcterms:W3CDTF">2025-06-18T11:00:00Z</dcterms:modified>
</cp:coreProperties>
</file>