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23D4" w:rsidRPr="00154E65" w:rsidRDefault="000223D4" w:rsidP="00F94CFE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F94CFE">
        <w:rPr>
          <w:rFonts w:ascii="Times New Roman" w:hAnsi="Times New Roman"/>
          <w:sz w:val="28"/>
          <w:szCs w:val="28"/>
        </w:rPr>
        <w:t>17.06.2022</w:t>
      </w:r>
      <w:r w:rsidRPr="00154E65">
        <w:rPr>
          <w:rFonts w:ascii="Times New Roman" w:hAnsi="Times New Roman"/>
          <w:sz w:val="28"/>
          <w:szCs w:val="28"/>
        </w:rPr>
        <w:t xml:space="preserve"> №</w:t>
      </w:r>
      <w:r w:rsidR="00F94CFE">
        <w:rPr>
          <w:rFonts w:ascii="Times New Roman" w:hAnsi="Times New Roman"/>
          <w:sz w:val="28"/>
          <w:szCs w:val="28"/>
        </w:rPr>
        <w:t xml:space="preserve"> 1559/6</w:t>
      </w: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spacing w:after="0"/>
        <w:rPr>
          <w:rFonts w:ascii="Times New Roman" w:hAnsi="Times New Roman"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223D4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 «Образование»</w:t>
      </w: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0223D4" w:rsidRPr="00154E65" w:rsidRDefault="000223D4" w:rsidP="000223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C50139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0223D4" w:rsidRPr="00A96EED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0223D4" w:rsidRPr="00C50139" w:rsidTr="007B0D09">
        <w:tc>
          <w:tcPr>
            <w:tcW w:w="5165" w:type="dxa"/>
          </w:tcPr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0223D4" w:rsidRPr="00C50139" w:rsidRDefault="000223D4" w:rsidP="007B0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Красногорск Н.С. Тимошина</w:t>
            </w:r>
          </w:p>
        </w:tc>
      </w:tr>
      <w:tr w:rsidR="000223D4" w:rsidRPr="00C50139" w:rsidTr="007B0D09">
        <w:tc>
          <w:tcPr>
            <w:tcW w:w="5165" w:type="dxa"/>
          </w:tcPr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0223D4" w:rsidRPr="00C50139" w:rsidRDefault="000223D4" w:rsidP="007B0D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0223D4" w:rsidRPr="00C50139" w:rsidTr="007B0D09">
        <w:tc>
          <w:tcPr>
            <w:tcW w:w="5165" w:type="dxa"/>
          </w:tcPr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0223D4" w:rsidRPr="00C50139" w:rsidRDefault="000223D4" w:rsidP="007B0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правленного на обеспечение доступности качественного образования, отвечающего треб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ваниям современного инновационного социально-экономического развития Московской области</w:t>
            </w:r>
          </w:p>
        </w:tc>
      </w:tr>
      <w:tr w:rsidR="000223D4" w:rsidRPr="00C50139" w:rsidTr="007B0D09">
        <w:tc>
          <w:tcPr>
            <w:tcW w:w="5165" w:type="dxa"/>
          </w:tcPr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0223D4" w:rsidRPr="00685AD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0223D4" w:rsidRPr="00C50139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223D4" w:rsidRPr="00C50139" w:rsidTr="007B0D09">
        <w:tc>
          <w:tcPr>
            <w:tcW w:w="5165" w:type="dxa"/>
            <w:vMerge w:val="restart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223D4" w:rsidRPr="00C50139" w:rsidTr="007B0D09">
        <w:tc>
          <w:tcPr>
            <w:tcW w:w="5165" w:type="dxa"/>
            <w:vMerge/>
          </w:tcPr>
          <w:p w:rsidR="000223D4" w:rsidRPr="00D645AA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223D4" w:rsidRPr="00C50139" w:rsidTr="007B0D09">
        <w:trPr>
          <w:trHeight w:val="392"/>
        </w:trPr>
        <w:tc>
          <w:tcPr>
            <w:tcW w:w="5165" w:type="dxa"/>
          </w:tcPr>
          <w:p w:rsidR="000223D4" w:rsidRPr="00D645AA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0223D4" w:rsidRPr="001344F3" w:rsidRDefault="000223D4" w:rsidP="007B0D09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1081079,49938</w:t>
            </w:r>
          </w:p>
        </w:tc>
        <w:tc>
          <w:tcPr>
            <w:tcW w:w="1560" w:type="dxa"/>
            <w:shd w:val="clear" w:color="auto" w:fill="auto"/>
          </w:tcPr>
          <w:p w:rsidR="000223D4" w:rsidRPr="00134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320033,26192</w:t>
            </w:r>
          </w:p>
        </w:tc>
        <w:tc>
          <w:tcPr>
            <w:tcW w:w="1559" w:type="dxa"/>
          </w:tcPr>
          <w:p w:rsidR="000223D4" w:rsidRPr="009F62C5" w:rsidRDefault="000223D4" w:rsidP="007B0D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560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0223D4" w:rsidRPr="00C50139" w:rsidTr="007B0D09">
        <w:tc>
          <w:tcPr>
            <w:tcW w:w="5165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22931424,27821</w:t>
            </w:r>
          </w:p>
        </w:tc>
        <w:tc>
          <w:tcPr>
            <w:tcW w:w="1560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4887443,88392</w:t>
            </w:r>
          </w:p>
        </w:tc>
        <w:tc>
          <w:tcPr>
            <w:tcW w:w="1559" w:type="dxa"/>
          </w:tcPr>
          <w:p w:rsidR="000223D4" w:rsidRPr="009F62C5" w:rsidRDefault="000223D4" w:rsidP="007B0D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4766029,7019</w:t>
            </w:r>
            <w:r w:rsidRPr="009F62C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0223D4" w:rsidRPr="009F62C5" w:rsidRDefault="000223D4" w:rsidP="007B0D09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0223D4" w:rsidRPr="00C50139" w:rsidTr="007B0D09">
        <w:tc>
          <w:tcPr>
            <w:tcW w:w="5165" w:type="dxa"/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9497636,79122</w:t>
            </w:r>
          </w:p>
        </w:tc>
        <w:tc>
          <w:tcPr>
            <w:tcW w:w="1560" w:type="dxa"/>
            <w:shd w:val="clear" w:color="auto" w:fill="auto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2027635,97666</w:t>
            </w:r>
          </w:p>
        </w:tc>
        <w:tc>
          <w:tcPr>
            <w:tcW w:w="1559" w:type="dxa"/>
          </w:tcPr>
          <w:p w:rsidR="000223D4" w:rsidRPr="009F62C5" w:rsidRDefault="000223D4" w:rsidP="007B0D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560" w:type="dxa"/>
          </w:tcPr>
          <w:p w:rsidR="000223D4" w:rsidRPr="009F62C5" w:rsidRDefault="000223D4" w:rsidP="007B0D09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0223D4" w:rsidRPr="00C50139" w:rsidTr="007B0D09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0223D4" w:rsidRPr="00D645AA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33510140,56881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7235113,1225</w:t>
            </w:r>
          </w:p>
        </w:tc>
        <w:tc>
          <w:tcPr>
            <w:tcW w:w="1559" w:type="dxa"/>
          </w:tcPr>
          <w:p w:rsidR="000223D4" w:rsidRPr="009F62C5" w:rsidRDefault="000223D4" w:rsidP="007B0D0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  <w:lang w:val="en-US"/>
              </w:rPr>
              <w:t>6819139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,</w:t>
            </w:r>
            <w:r w:rsidRPr="009F62C5">
              <w:rPr>
                <w:rFonts w:ascii="Times New Roman" w:hAnsi="Times New Roman"/>
                <w:sz w:val="24"/>
                <w:szCs w:val="24"/>
                <w:lang w:val="en-US"/>
              </w:rPr>
              <w:t>89777</w:t>
            </w:r>
          </w:p>
        </w:tc>
        <w:tc>
          <w:tcPr>
            <w:tcW w:w="1560" w:type="dxa"/>
          </w:tcPr>
          <w:p w:rsidR="000223D4" w:rsidRPr="009F62C5" w:rsidRDefault="000223D4" w:rsidP="007B0D09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0223D4" w:rsidRPr="00FD66D4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3D4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23D4" w:rsidRPr="00C50139" w:rsidRDefault="000223D4" w:rsidP="000223D4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0223D4" w:rsidRPr="00DE5963" w:rsidRDefault="000223D4" w:rsidP="00022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0223D4" w:rsidRPr="00DE5963" w:rsidRDefault="000223D4" w:rsidP="000223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0223D4" w:rsidRPr="00DE5963" w:rsidRDefault="000223D4" w:rsidP="000223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0223D4" w:rsidRPr="00DE5963" w:rsidRDefault="000223D4" w:rsidP="000223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0223D4" w:rsidRPr="00DE5963" w:rsidRDefault="000223D4" w:rsidP="000223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0223D4" w:rsidRPr="00DE5963" w:rsidRDefault="000223D4" w:rsidP="000223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0223D4" w:rsidRPr="00DE5963" w:rsidRDefault="000223D4" w:rsidP="000223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0223D4" w:rsidRPr="00DE5963" w:rsidRDefault="000223D4" w:rsidP="00022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0223D4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0223D4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0223D4" w:rsidRPr="00DB09DC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0223D4" w:rsidRPr="00DE5963" w:rsidRDefault="000223D4" w:rsidP="000223D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количес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lastRenderedPageBreak/>
        <w:t>ва обучающихся во вторую смену и роста наполняемости классов. В 29 общеобразовательных учреждениях превышена проектная мощность по наполняемости, 13 школ работают в две смены, 7,3% обучающихся учатся во вторую смену. Мероприятием, направленным на ликвид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0223D4" w:rsidRPr="00DE5963" w:rsidRDefault="000223D4" w:rsidP="000223D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lastRenderedPageBreak/>
        <w:t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инс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рументы языковой и культурной интеграции обучающихся из семей трудовых мигрантов недостаточно распространены. 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</w:t>
      </w:r>
      <w:r w:rsidRPr="00DE5963">
        <w:rPr>
          <w:rFonts w:ascii="Times New Roman" w:eastAsia="Times New Roman" w:hAnsi="Times New Roman"/>
          <w:sz w:val="24"/>
          <w:szCs w:val="24"/>
        </w:rPr>
        <w:t>а</w:t>
      </w:r>
      <w:r w:rsidRPr="00DE5963">
        <w:rPr>
          <w:rFonts w:ascii="Times New Roman" w:eastAsia="Times New Roman" w:hAnsi="Times New Roman"/>
          <w:sz w:val="24"/>
          <w:szCs w:val="24"/>
        </w:rPr>
        <w:t>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резильентных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рументов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0223D4" w:rsidRPr="00DE5963" w:rsidRDefault="000223D4" w:rsidP="000223D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0223D4" w:rsidRPr="00DE5963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0223D4" w:rsidRPr="00DE5963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0223D4" w:rsidRDefault="000223D4" w:rsidP="000223D4">
      <w:pPr>
        <w:pStyle w:val="ConsPlusNormal"/>
        <w:ind w:firstLine="0"/>
        <w:jc w:val="both"/>
      </w:pPr>
    </w:p>
    <w:p w:rsidR="000223D4" w:rsidRPr="009B16F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</w:t>
      </w:r>
      <w:r w:rsidRPr="009B16F2">
        <w:rPr>
          <w:rFonts w:ascii="Times New Roman" w:hAnsi="Times New Roman" w:cs="Times New Roman"/>
          <w:sz w:val="24"/>
          <w:szCs w:val="24"/>
        </w:rPr>
        <w:t>а</w:t>
      </w:r>
      <w:r w:rsidRPr="009B16F2">
        <w:rPr>
          <w:rFonts w:ascii="Times New Roman" w:hAnsi="Times New Roman" w:cs="Times New Roman"/>
          <w:sz w:val="24"/>
          <w:szCs w:val="24"/>
        </w:rPr>
        <w:t>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Московской области</w:t>
      </w:r>
    </w:p>
    <w:p w:rsidR="000223D4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3D4" w:rsidRPr="00A96EED" w:rsidRDefault="000223D4" w:rsidP="000223D4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23D4" w:rsidRPr="00C50139" w:rsidRDefault="000223D4" w:rsidP="000223D4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0223D4" w:rsidRPr="00430A54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0223D4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23D4" w:rsidRPr="00430A54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0223D4" w:rsidRPr="007F14C9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0223D4" w:rsidRPr="00430A54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23D4" w:rsidRPr="00430A54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0223D4" w:rsidRPr="00430A5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0223D4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0223D4" w:rsidRPr="008E0449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lastRenderedPageBreak/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 дополнительного образования, професси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0223D4" w:rsidRPr="00DB09D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0223D4" w:rsidRDefault="000223D4" w:rsidP="000223D4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C50139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0223D4" w:rsidRPr="00C50139" w:rsidRDefault="000223D4" w:rsidP="000223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0223D4" w:rsidRPr="00943EF6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0223D4" w:rsidRPr="00943EF6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0223D4" w:rsidRPr="00943EF6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7534B7" w:rsidRDefault="000223D4" w:rsidP="000223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ных стандартов общего образования;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163354" w:rsidRDefault="000223D4" w:rsidP="000223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0223D4" w:rsidRPr="00943EF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0223D4" w:rsidRPr="008E0449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0223D4" w:rsidRPr="008E0449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0223D4" w:rsidRPr="008E0449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0223D4" w:rsidRPr="008E0449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0223D4" w:rsidRPr="009F794A" w:rsidRDefault="000223D4" w:rsidP="00022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кусств)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0223D4" w:rsidRPr="009F794A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0223D4" w:rsidRPr="009F794A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0223D4" w:rsidRPr="009F794A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0223D4" w:rsidRPr="009F794A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0223D4" w:rsidRPr="009F794A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0223D4" w:rsidRPr="003A08F0" w:rsidRDefault="000223D4" w:rsidP="000223D4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0223D4" w:rsidRPr="00A40C31" w:rsidRDefault="000223D4" w:rsidP="000223D4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0223D4" w:rsidRPr="006B0C3F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0223D4" w:rsidRPr="00A96EED" w:rsidRDefault="000223D4" w:rsidP="000223D4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0223D4" w:rsidRPr="00A40C31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0223D4" w:rsidRPr="00E0437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0223D4" w:rsidRPr="00A40C31" w:rsidRDefault="000223D4" w:rsidP="000223D4">
      <w:pPr>
        <w:spacing w:after="1" w:line="220" w:lineRule="atLeast"/>
        <w:outlineLvl w:val="2"/>
      </w:pPr>
    </w:p>
    <w:p w:rsidR="000223D4" w:rsidRPr="00A40C31" w:rsidRDefault="000223D4" w:rsidP="000223D4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0223D4" w:rsidRPr="00E04372" w:rsidRDefault="000223D4" w:rsidP="0002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</w:t>
      </w:r>
      <w:r w:rsidRPr="00E04372">
        <w:rPr>
          <w:rFonts w:ascii="Times New Roman" w:hAnsi="Times New Roman"/>
          <w:sz w:val="24"/>
          <w:szCs w:val="24"/>
        </w:rPr>
        <w:lastRenderedPageBreak/>
        <w:t xml:space="preserve">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учре</w:t>
      </w:r>
      <w:r w:rsidRPr="00E04372">
        <w:rPr>
          <w:rFonts w:ascii="Times New Roman" w:hAnsi="Times New Roman"/>
          <w:bCs/>
          <w:sz w:val="24"/>
          <w:szCs w:val="24"/>
        </w:rPr>
        <w:t>ж</w:t>
      </w:r>
      <w:r w:rsidRPr="00E04372">
        <w:rPr>
          <w:rFonts w:ascii="Times New Roman" w:hAnsi="Times New Roman"/>
          <w:bCs/>
          <w:sz w:val="24"/>
          <w:szCs w:val="24"/>
        </w:rPr>
        <w:t>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0223D4" w:rsidRPr="00E0437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0223D4" w:rsidRPr="00E04372" w:rsidRDefault="000223D4" w:rsidP="000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0223D4" w:rsidRPr="00E0437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0223D4" w:rsidRPr="00E0437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0223D4" w:rsidRPr="00E0437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0223D4" w:rsidRPr="00E04372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Pr="00A40C31" w:rsidRDefault="000223D4" w:rsidP="000223D4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0223D4" w:rsidRPr="00A0784D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0223D4" w:rsidRPr="00C25DC7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0223D4" w:rsidRPr="00C25DC7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0223D4" w:rsidRPr="00A0784D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0223D4" w:rsidRPr="00A0784D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 xml:space="preserve">, расположенные в сельской </w:t>
      </w:r>
      <w:r w:rsidRPr="00A0784D">
        <w:rPr>
          <w:rFonts w:ascii="Times New Roman" w:hAnsi="Times New Roman" w:cs="Times New Roman"/>
          <w:sz w:val="24"/>
          <w:szCs w:val="24"/>
        </w:rPr>
        <w:lastRenderedPageBreak/>
        <w:t>местности;</w:t>
      </w:r>
    </w:p>
    <w:p w:rsidR="000223D4" w:rsidRPr="00A0784D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0223D4" w:rsidRPr="00A0784D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223D4" w:rsidRPr="00C25DC7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0223D4" w:rsidRPr="00C25DC7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0223D4" w:rsidRPr="00C25DC7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223D4" w:rsidRPr="003455CC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D21566" w:rsidRDefault="000223D4" w:rsidP="000223D4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учре</w:t>
      </w:r>
      <w:r w:rsidRPr="00B3189B">
        <w:rPr>
          <w:rFonts w:ascii="Times New Roman" w:hAnsi="Times New Roman" w:cs="Times New Roman"/>
          <w:bCs/>
          <w:sz w:val="24"/>
          <w:szCs w:val="24"/>
        </w:rPr>
        <w:t>ж</w:t>
      </w:r>
      <w:r w:rsidRPr="00B3189B">
        <w:rPr>
          <w:rFonts w:ascii="Times New Roman" w:hAnsi="Times New Roman" w:cs="Times New Roman"/>
          <w:bCs/>
          <w:sz w:val="24"/>
          <w:szCs w:val="24"/>
        </w:rPr>
        <w:t>дений дополнительного образования;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0223D4" w:rsidRPr="00B3189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lastRenderedPageBreak/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0223D4" w:rsidRPr="00C942C8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0223D4" w:rsidRPr="00C942C8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0223D4" w:rsidRPr="00C942C8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0223D4" w:rsidRPr="00C942C8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0223D4" w:rsidRPr="00C942C8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0223D4" w:rsidRPr="00740D06" w:rsidRDefault="000223D4" w:rsidP="000223D4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0223D4" w:rsidRPr="00430209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Pr="00D21EBB" w:rsidRDefault="000223D4" w:rsidP="000223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0223D4" w:rsidRPr="00A1324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0223D4" w:rsidRPr="00A1324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Pr="00C113AD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3D4" w:rsidRPr="00D21EBB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0223D4" w:rsidRDefault="000223D4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0223D4" w:rsidRPr="004107D0" w:rsidTr="007B0D0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программы/ подпрограммы (показ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0223D4" w:rsidRPr="004107D0" w:rsidTr="007B0D0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3D4" w:rsidRPr="004107D0" w:rsidTr="007B0D0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23D4" w:rsidRPr="00F1297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0223D4" w:rsidRPr="004107D0" w:rsidTr="007B0D0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F12973" w:rsidRDefault="000223D4" w:rsidP="007B0D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F12973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D21E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EE0700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сти детей в возрасте от 3 до 7 лет, получающих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ходящихся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дошкольного образования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EE0700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3D4" w:rsidRPr="00EE0700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лучение общ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доступного и бесплатного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115C2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3-х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115C2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доступного и бесплатного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6D4D8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6D4D8B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к 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Московской области </w:t>
            </w:r>
          </w:p>
          <w:p w:rsidR="000223D4" w:rsidRPr="006D4D8B" w:rsidRDefault="000223D4" w:rsidP="007B0D0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6D4D8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сийской Ф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D4D8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D4D8B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448CB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6D4D8B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3D4" w:rsidRPr="006D4D8B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доступного и бесплатного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  <w:lang w:val="en-US"/>
              </w:rPr>
              <w:t>54499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,</w:t>
            </w:r>
            <w:r w:rsidRPr="0013068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223D4" w:rsidRPr="00FA3ED7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дошк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образов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закупка об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</w:t>
            </w:r>
          </w:p>
          <w:p w:rsidR="000223D4" w:rsidRPr="001E3278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нятости»</w:t>
            </w:r>
          </w:p>
          <w:p w:rsidR="000223D4" w:rsidRPr="001E3278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венных и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ных), и у индивидуал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предпринимателей, осуществляющих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зовательную деятел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ность по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 программам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тированным, и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 частных дошкольных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B132A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44F3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223D4" w:rsidRPr="004107D0" w:rsidTr="007B0D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ных в микрорайонах с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lastRenderedPageBreak/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223D4" w:rsidRPr="0013068F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0223D4" w:rsidRPr="004107D0" w:rsidTr="007B0D0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4107D0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4107D0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223D4" w:rsidRPr="004107D0" w:rsidTr="007B0D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3D4" w:rsidRPr="00C50DD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3D4" w:rsidRPr="00C50DD5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оходу от трудовой деятельности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50DD5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9059E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059E5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A76FC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A76FC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9059E5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положенных в сельской 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Соглашение 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9462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во вторую смену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14426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AE1DBB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сдававших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AE1D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AE1D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AE1DB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AE1DBB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44F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44F3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Основное меро-приятие 05. 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57993,80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государственных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ное горячее питание, к общему количеству обучающихся, 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сударственных и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ляющих обучение по программам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C9355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в Московской области 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2808B5" w:rsidRDefault="000223D4" w:rsidP="007B0D0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EC469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D645AA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3068F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тем образования в рамках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06614D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06614D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C433B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  <w:p w:rsidR="000223D4" w:rsidRPr="006C433B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приятие 04. Ре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лизация мер, н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правленных на повышение э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ф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фективности воспитательной деятельности в системе образ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вания, физич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ской культуры и спорта, культуры и уровня псих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лого-педагогической поддержки с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циализации д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4F3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3964A1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964A1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деятельностью детских технопарков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соответс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вующих приоритетным направлениям технол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гического развития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5,199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8A5DBC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lastRenderedPageBreak/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70211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70211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70211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670211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70211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670211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B232F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9F62C5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0223D4" w:rsidRPr="00670211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FA3ED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3612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0223D4" w:rsidRPr="004107D0" w:rsidTr="007B0D09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B85B3F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0223D4" w:rsidRPr="004107D0" w:rsidTr="007B0D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B85B3F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E3278" w:rsidRDefault="000223D4" w:rsidP="007B0D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3D4" w:rsidRPr="00B85B3F" w:rsidRDefault="000223D4" w:rsidP="007B0D0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F26983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0" w:name="P2228"/>
      <w:bookmarkStart w:id="1" w:name="P2234"/>
      <w:bookmarkEnd w:id="0"/>
      <w:bookmarkEnd w:id="1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0223D4" w:rsidRDefault="000223D4" w:rsidP="000223D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0223D4" w:rsidRPr="004107D0" w:rsidTr="007B0D09">
        <w:trPr>
          <w:trHeight w:val="276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0223D4" w:rsidRPr="004107D0" w:rsidTr="007B0D09">
        <w:trPr>
          <w:trHeight w:val="378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223D4" w:rsidRPr="004107D0" w:rsidTr="007B0D0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0223D4" w:rsidRPr="005A4647" w:rsidRDefault="000223D4" w:rsidP="007B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0223D4" w:rsidRPr="00964CB0" w:rsidRDefault="000223D4" w:rsidP="007B0D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0223D4" w:rsidRPr="001E3278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возрасте от 3 до 7 лет, получа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дошкольное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вание в текущем году,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дящихся в очереди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лучение в текущем году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1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году;</w:t>
            </w:r>
          </w:p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0223D4" w:rsidRPr="00F26983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до 3-х лет</w:t>
            </w:r>
          </w:p>
        </w:tc>
        <w:tc>
          <w:tcPr>
            <w:tcW w:w="121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стоящих на учете для предоста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ления места в дошкольном обр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зовательном учреждении с пре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почтительной датой приёма в 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кущем году (актуальный спрос), </w:t>
            </w:r>
          </w:p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сударственной статистики</w:t>
            </w:r>
          </w:p>
        </w:tc>
        <w:tc>
          <w:tcPr>
            <w:tcW w:w="3119" w:type="dxa"/>
          </w:tcPr>
          <w:p w:rsidR="000223D4" w:rsidRPr="00F2698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 от 3 до 7 лет, получающих 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году;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находящи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0223D4" w:rsidRPr="00F26983" w:rsidRDefault="000223D4" w:rsidP="007B0D09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0223D4" w:rsidRPr="00F26983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0223D4" w:rsidRPr="00F26983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0223D4" w:rsidRPr="00FA3ED7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223D4" w:rsidRPr="00FA3ED7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0223D4" w:rsidRPr="00FA3ED7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дошк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льного образования, для детей в возрасте до трех лет за счет средств фед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рального бюджета, бю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жетов субъектов росси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й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 и мес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бюджетов с учетом приоритетности реги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нальных программ суб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ъ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ектов Российской Фед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рации, в том числе вх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дящих в состав Дальн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0223D4" w:rsidRPr="001E3278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0223D4" w:rsidRPr="00FA3ED7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0223D4" w:rsidRPr="00FA3ED7" w:rsidRDefault="000223D4" w:rsidP="007B0D0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осущ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0223D4" w:rsidRPr="00FA3ED7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bookmarkEnd w:id="2"/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B20510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894" w:type="dxa"/>
          </w:tcPr>
          <w:p w:rsidR="000223D4" w:rsidRPr="00C93554" w:rsidRDefault="000223D4" w:rsidP="007B0D0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223D4" w:rsidRPr="00C93554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дошк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льных образовательных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области</w:t>
            </w:r>
          </w:p>
        </w:tc>
        <w:tc>
          <w:tcPr>
            <w:tcW w:w="3119" w:type="dxa"/>
          </w:tcPr>
          <w:p w:rsidR="000223D4" w:rsidRPr="00C93554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0223D4" w:rsidRPr="00C93554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0"/>
        </w:trPr>
        <w:tc>
          <w:tcPr>
            <w:tcW w:w="738" w:type="dxa"/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0223D4" w:rsidRPr="0013068F" w:rsidRDefault="000223D4" w:rsidP="007B0D0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0223D4" w:rsidRPr="0013068F" w:rsidRDefault="000223D4" w:rsidP="007B0D0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ласти, осуществляющих присмотр и уход за детьми, учредителями которых являются органы местн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го самоуправления муниципал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образований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0223D4" w:rsidRPr="0013068F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223D4" w:rsidRPr="004107D0" w:rsidTr="007B0D0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0223D4" w:rsidRPr="00964CB0" w:rsidRDefault="000223D4" w:rsidP="007B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0223D4" w:rsidRPr="00713A95" w:rsidRDefault="000223D4" w:rsidP="007B0D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94" w:type="dxa"/>
          </w:tcPr>
          <w:p w:rsidR="000223D4" w:rsidRPr="00F26983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223D4" w:rsidRPr="00F26983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21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F26983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0223D4" w:rsidRPr="00D645AA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женных в сельской мес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ности и малых городах,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созданы и функционир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ют центры образования естественно-научной и технологической напра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  <w:tc>
          <w:tcPr>
            <w:tcW w:w="121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малых городах, со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даны и функционируют центры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естественно-научной и технологической направленн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297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223D4" w:rsidRPr="001E3278" w:rsidRDefault="000223D4" w:rsidP="007B0D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0223D4" w:rsidRPr="001E3278" w:rsidRDefault="000223D4" w:rsidP="007B0D09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0223D4" w:rsidRPr="00024E0B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23D4" w:rsidRPr="00024E0B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3D4" w:rsidRPr="00024E0B" w:rsidRDefault="000223D4" w:rsidP="007B0D09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щего года, набравших 250 баллов и более по 3 предметам, к общему 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 xml:space="preserve">скников 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текущего года, сдава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  <w:tc>
          <w:tcPr>
            <w:tcW w:w="1217" w:type="dxa"/>
          </w:tcPr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ших 250 баллов и более по 3 предметам);</w:t>
            </w:r>
          </w:p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В – количество высокобалльников;</w:t>
            </w:r>
          </w:p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Данные Регионального це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0223D4" w:rsidRPr="009F62C5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94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0223D4" w:rsidRPr="00FA3ED7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 бесплатное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рячее питание, к общему количеству обучающи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ное общее образование в государственных и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21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ях, получающих бесплатное гор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чее питание, к общему количеству обучающихся, получающих 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чальное общее образование в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0223D4" w:rsidRPr="00C93554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ций, расположенных на территории городского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соответс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вии со стандартом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женных на территории городского округа Красногорск Московской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0223D4" w:rsidRPr="00C93554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0C11C0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категории обучающихся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лучали бесплатное пит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ние, от общего количес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ва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сещали образовательную организацию</w:t>
            </w:r>
          </w:p>
        </w:tc>
        <w:tc>
          <w:tcPr>
            <w:tcW w:w="1217" w:type="dxa"/>
          </w:tcPr>
          <w:p w:rsidR="000223D4" w:rsidRPr="000C11C0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0C11C0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ные категории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общеобразовател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организаций в Московской области получали бесплатное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тодней, в которые отдельные кат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общеобразовательных организаций в Московской обла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ти посещали образовательную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ганизацию</w:t>
            </w:r>
          </w:p>
        </w:tc>
        <w:tc>
          <w:tcPr>
            <w:tcW w:w="3119" w:type="dxa"/>
          </w:tcPr>
          <w:p w:rsidR="000223D4" w:rsidRPr="00D645AA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297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C9355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0223D4" w:rsidRPr="002808B5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2808B5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0223D4" w:rsidRPr="002808B5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223D4" w:rsidRPr="002808B5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Московской области и у индивидуального пре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принимателя</w:t>
            </w:r>
          </w:p>
        </w:tc>
        <w:tc>
          <w:tcPr>
            <w:tcW w:w="121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ционирующих мест в частных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организациях в Московской области и у индив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дуального предпринимателя</w:t>
            </w:r>
          </w:p>
        </w:tc>
        <w:tc>
          <w:tcPr>
            <w:tcW w:w="3119" w:type="dxa"/>
          </w:tcPr>
          <w:p w:rsidR="000223D4" w:rsidRPr="00D645AA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223D4" w:rsidRPr="00D645AA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223D4" w:rsidRPr="004107D0" w:rsidTr="007B0D09">
        <w:trPr>
          <w:trHeight w:val="390"/>
        </w:trPr>
        <w:tc>
          <w:tcPr>
            <w:tcW w:w="738" w:type="dxa"/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ний, помещений)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119" w:type="dxa"/>
          </w:tcPr>
          <w:p w:rsidR="000223D4" w:rsidRPr="0013068F" w:rsidRDefault="000223D4" w:rsidP="007B0D0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достроительной деятельн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сти администрации горо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2977" w:type="dxa"/>
          </w:tcPr>
          <w:p w:rsidR="000223D4" w:rsidRPr="0013068F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Pr="00964CB0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0223D4" w:rsidRPr="00BD4CE6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0223D4" w:rsidRPr="00024E0B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3D4" w:rsidRPr="00024E0B" w:rsidRDefault="000223D4" w:rsidP="007B0D0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б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0223D4" w:rsidRPr="00024E0B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 (нарастающим ит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Тыс. 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0223D4" w:rsidRDefault="000223D4" w:rsidP="007B0D09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риум» (мобильных технопарков «Кванториум»)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 Федерации</w:t>
            </w:r>
          </w:p>
          <w:p w:rsidR="000223D4" w:rsidRPr="00F65DAF" w:rsidRDefault="000223D4" w:rsidP="007B0D09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0223D4" w:rsidRPr="00024E0B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223D4" w:rsidRPr="00A15EA2" w:rsidRDefault="000223D4" w:rsidP="007B0D0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чающихся по дополнительным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0223D4" w:rsidRPr="00FA3ED7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правленностей (нара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17" w:type="dxa"/>
          </w:tcPr>
          <w:p w:rsidR="000223D4" w:rsidRPr="00FA3ED7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0223D4" w:rsidRPr="00FA3ED7" w:rsidRDefault="000223D4" w:rsidP="007B0D0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новых мест различных типов для реализации дополнительных общеразвива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0223D4" w:rsidRPr="00FA3ED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0223D4" w:rsidRPr="00FA3ED7" w:rsidRDefault="000223D4" w:rsidP="007B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Pr="00024E0B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0223D4" w:rsidRPr="00AF1D30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0223D4" w:rsidRPr="004107D0" w:rsidTr="007B0D09">
        <w:trPr>
          <w:trHeight w:val="253"/>
        </w:trPr>
        <w:tc>
          <w:tcPr>
            <w:tcW w:w="738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0223D4" w:rsidRPr="001E3278" w:rsidRDefault="000223D4" w:rsidP="007B0D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21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0223D4" w:rsidRPr="001E3278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Ппр – число педагогических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ботников организаций,   осущес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тельность по общеобразовател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программам, прошедших добровольную независимую оце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0223D4" w:rsidRPr="001E3278" w:rsidRDefault="000223D4" w:rsidP="007B0D0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Поч – общее число педагогич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0223D4" w:rsidRPr="001E3278" w:rsidRDefault="000223D4" w:rsidP="007B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</w:p>
        </w:tc>
      </w:tr>
    </w:tbl>
    <w:p w:rsidR="000223D4" w:rsidRDefault="000223D4" w:rsidP="000223D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024E0B" w:rsidRDefault="000223D4" w:rsidP="000223D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0223D4" w:rsidRPr="00024E0B" w:rsidRDefault="000223D4" w:rsidP="000223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172"/>
      <w:bookmarkEnd w:id="3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4" w:name="P174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176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87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наименование объекта (при наличии);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0223D4" w:rsidRPr="00024E0B" w:rsidRDefault="000223D4" w:rsidP="000223D4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0223D4" w:rsidRDefault="000223D4" w:rsidP="000223D4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0223D4" w:rsidRDefault="000223D4" w:rsidP="000223D4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3D4" w:rsidRPr="00024E0B" w:rsidRDefault="000223D4" w:rsidP="000223D4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024E0B" w:rsidRDefault="000223D4" w:rsidP="000223D4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0223D4" w:rsidRPr="00024E0B" w:rsidRDefault="000223D4" w:rsidP="000223D4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0223D4" w:rsidRPr="00024E0B" w:rsidRDefault="000223D4" w:rsidP="000223D4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0223D4" w:rsidRPr="000B64DE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0223D4" w:rsidRPr="0036060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lastRenderedPageBreak/>
        <w:t>нейшей реализации;</w:t>
      </w:r>
    </w:p>
    <w:p w:rsidR="000223D4" w:rsidRPr="00360606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0223D4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0223D4" w:rsidRPr="00360606" w:rsidRDefault="000223D4" w:rsidP="000223D4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правляет в экономическое управление (отдел муниципальных программ и целевых показателей) администрации городского округа Красн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0223D4" w:rsidRPr="00024E0B" w:rsidRDefault="000223D4" w:rsidP="000223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0223D4" w:rsidRPr="00024E0B" w:rsidRDefault="000223D4" w:rsidP="000223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0223D4" w:rsidRPr="00024E0B" w:rsidRDefault="000223D4" w:rsidP="00022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0223D4" w:rsidRDefault="000223D4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1344F3" w:rsidRDefault="001344F3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460657" w:rsidRDefault="000223D4" w:rsidP="000223D4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3009"/>
      <w:bookmarkEnd w:id="7"/>
      <w:r w:rsidRPr="00460657">
        <w:rPr>
          <w:rFonts w:ascii="Times New Roman" w:hAnsi="Times New Roman"/>
          <w:b/>
          <w:sz w:val="24"/>
          <w:szCs w:val="24"/>
        </w:rPr>
        <w:lastRenderedPageBreak/>
        <w:t>Подпрограмма I «Дошкольное образование»</w:t>
      </w:r>
    </w:p>
    <w:p w:rsidR="000223D4" w:rsidRPr="00460657" w:rsidRDefault="000223D4" w:rsidP="000223D4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0223D4" w:rsidRPr="00460657" w:rsidRDefault="000223D4" w:rsidP="000223D4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0223D4" w:rsidRPr="004107D0" w:rsidTr="007B0D09">
        <w:trPr>
          <w:trHeight w:val="328"/>
        </w:trPr>
        <w:tc>
          <w:tcPr>
            <w:tcW w:w="2800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0223D4" w:rsidRPr="004107D0" w:rsidTr="007B0D09">
        <w:tc>
          <w:tcPr>
            <w:tcW w:w="2800" w:type="dxa"/>
            <w:vMerge w:val="restart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223D4" w:rsidRPr="004107D0" w:rsidTr="007B0D09">
        <w:trPr>
          <w:trHeight w:val="202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223D4" w:rsidRPr="00460657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460657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460657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460657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460657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0223D4" w:rsidRPr="009C27D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782461,</w:t>
            </w:r>
          </w:p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752074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7222062,</w:t>
            </w:r>
          </w:p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79816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0223D4" w:rsidRPr="009C27D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0223D4" w:rsidRPr="009C27D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203695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3456636,80</w:t>
            </w:r>
          </w:p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0223D4" w:rsidRPr="009C27D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578766,</w:t>
            </w:r>
          </w:p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3745068,</w:t>
            </w:r>
          </w:p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59816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0223D4" w:rsidRPr="009C27D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768631,</w:t>
            </w:r>
          </w:p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747244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6930919,</w:t>
            </w:r>
          </w:p>
          <w:p w:rsidR="000223D4" w:rsidRPr="001344F3" w:rsidRDefault="000223D4" w:rsidP="007B0D0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90316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0223D4" w:rsidRPr="00BE0C2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0223D4" w:rsidRPr="009C27D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189865</w:t>
            </w:r>
          </w:p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3433209,80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0223D4" w:rsidRPr="000C11C0" w:rsidRDefault="000223D4" w:rsidP="007B0D0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578766,</w:t>
            </w:r>
          </w:p>
          <w:p w:rsidR="000223D4" w:rsidRPr="001344F3" w:rsidRDefault="000223D4" w:rsidP="007B0D0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3477352,</w:t>
            </w:r>
          </w:p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70316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4606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4606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0223D4" w:rsidRPr="00085AA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0223D4" w:rsidRPr="000C11C0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23D4" w:rsidRPr="009F62C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681C13" w:rsidRDefault="000223D4" w:rsidP="000223D4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237"/>
      <w:bookmarkEnd w:id="8"/>
      <w:r w:rsidRPr="00681C1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0223D4" w:rsidRPr="004107D0" w:rsidTr="007B0D09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0223D4" w:rsidRPr="004107D0" w:rsidTr="007B0D09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23D4" w:rsidRPr="004107D0" w:rsidTr="007B0D0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Проведение капитального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дошк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образования, закупка оборудов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32AC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мельно-имущес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отнош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223D4" w:rsidRPr="004107D0" w:rsidTr="007B0D0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32AC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32AC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681C13" w:rsidTr="007B0D09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3D4" w:rsidRPr="00681C13" w:rsidTr="007B0D09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402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681C13" w:rsidTr="007B0D09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681C13" w:rsidTr="007B0D09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C11C0" w:rsidRDefault="000223D4" w:rsidP="007B0D0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81C1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81C1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6686596,</w:t>
            </w:r>
          </w:p>
          <w:p w:rsidR="000223D4" w:rsidRPr="001344F3" w:rsidRDefault="000223D4" w:rsidP="007B0D0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733220,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C40F5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0223D4" w:rsidRPr="0013068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0223D4" w:rsidRPr="0013068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дошкольного образования для детей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трех до семи лет</w:t>
            </w:r>
          </w:p>
          <w:p w:rsidR="000223D4" w:rsidRPr="0013068F" w:rsidRDefault="000223D4" w:rsidP="007B0D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0223D4" w:rsidRPr="0013068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численных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данные допо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женных в микрорайонах с наибольшей очередностью</w:t>
            </w:r>
          </w:p>
        </w:tc>
      </w:tr>
      <w:tr w:rsidR="000223D4" w:rsidRPr="004107D0" w:rsidTr="007B0D09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C40F5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3384737,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0223D4" w:rsidRPr="001344F3" w:rsidRDefault="000223D4" w:rsidP="007B0D0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559808,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приобретение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C40F5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дошк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образования в частных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 учебников и учебных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C40F5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9355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662084" w:rsidTr="007B0D09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3D4" w:rsidRPr="00662084" w:rsidTr="007B0D09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662084" w:rsidTr="007B0D09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662084" w:rsidTr="007B0D09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2920612,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469984,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966B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966B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2920612,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469984,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с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луг по предоставл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нию дошкольного образования, соде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2920612,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469984,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2920612,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469984,</w:t>
            </w:r>
          </w:p>
          <w:p w:rsidR="000223D4" w:rsidRPr="001344F3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8068C9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дошк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1344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8068C9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E327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8068C9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1344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реждений дошкол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181558,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45723,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181558,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45723,</w:t>
            </w:r>
          </w:p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8068C9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0C5CB9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0C5CB9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53BC5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реподготовка пед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гогических  и рук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водящих работников муниципальных 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53BC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153BC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331ED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«Педагог года По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московья», 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младших воспитат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лей «Детство в те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лых ладонях»,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курс професси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нального мастерства «Ступеньки масте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331ED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331ED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41981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пальное меропри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зы», фестиваль фу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41981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41981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дации очередности (за счет выплаты компенсации род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D629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20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образов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организ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приятий по подг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товке учреждений к оказанию образов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F37B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 xml:space="preserve">расте от 1,5 до 7 лет в организациях, </w:t>
            </w:r>
            <w:r w:rsidRPr="00085AA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8D0F4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225079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267750,49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вательных организациях, реализующих образовател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ные програ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мы дошкол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223D4" w:rsidRPr="00240CEF" w:rsidRDefault="000223D4" w:rsidP="007B0D09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мест, в том числе с обеспечением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необходимых условий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бывания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ях, осущест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ляющих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ную деятел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Российской Федерации и местных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жетов с уч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том приор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тетности 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гиональных программ субъектов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Федерации, в том числе вх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дящих в состав Дальневосто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федеральных округов</w:t>
            </w:r>
          </w:p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суб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ектах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 для детей в возрасте от 1,5 до 3 лет любой напра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 организациях,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и мун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ципальных), и у индивид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альных пре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принимателей,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 по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 в общей 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питанников дошкольных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92615,29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государс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венных, муниц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5BB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65BB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448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448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2363CE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89161074"/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10.3 Адресный перечень объектов недвижимого имущества, приобретаемых в муниципальную собственность,</w:t>
      </w:r>
    </w:p>
    <w:p w:rsidR="000223D4" w:rsidRPr="002363CE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0223D4" w:rsidRPr="002363CE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0223D4" w:rsidRPr="002363CE" w:rsidTr="007B0D09">
        <w:trPr>
          <w:trHeight w:val="453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стирования, наим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нование объекта, адрес объекта, св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дения о государс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850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ность объе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к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та (кв. метр, пого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ь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ная сто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мость об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ъ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01.01.2021</w:t>
            </w:r>
          </w:p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400" w:type="dxa"/>
            <w:gridSpan w:val="8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дителя бюджетных средств</w:t>
            </w:r>
          </w:p>
        </w:tc>
      </w:tr>
      <w:tr w:rsidR="000223D4" w:rsidRPr="002363CE" w:rsidTr="007B0D0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263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9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50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240"/>
        </w:trPr>
        <w:tc>
          <w:tcPr>
            <w:tcW w:w="41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23D4" w:rsidRPr="002363CE" w:rsidTr="007B0D0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тов, д. 17, помещ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ние 10 </w:t>
            </w:r>
          </w:p>
        </w:tc>
        <w:tc>
          <w:tcPr>
            <w:tcW w:w="79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0223D4" w:rsidRPr="002363CE" w:rsidTr="007B0D0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263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79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50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тов, д. 8 </w:t>
            </w:r>
          </w:p>
        </w:tc>
        <w:tc>
          <w:tcPr>
            <w:tcW w:w="79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12072,685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3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967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67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0223D4" w:rsidRPr="00142DA7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9"/>
    </w:tbl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B24487" w:rsidRDefault="000223D4" w:rsidP="000223D4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14866"/>
      <w:bookmarkEnd w:id="10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0223D4" w:rsidRPr="00B24487" w:rsidRDefault="000223D4" w:rsidP="000223D4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0223D4" w:rsidRPr="00B24487" w:rsidRDefault="000223D4" w:rsidP="000223D4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0223D4" w:rsidRPr="00A96EED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0223D4" w:rsidRPr="004107D0" w:rsidTr="007B0D09">
        <w:trPr>
          <w:trHeight w:val="328"/>
        </w:trPr>
        <w:tc>
          <w:tcPr>
            <w:tcW w:w="2800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0223D4" w:rsidRPr="004107D0" w:rsidTr="007B0D09">
        <w:tc>
          <w:tcPr>
            <w:tcW w:w="2800" w:type="dxa"/>
            <w:vMerge w:val="restart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223D4" w:rsidRPr="004107D0" w:rsidTr="007B0D09">
        <w:trPr>
          <w:trHeight w:val="202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6293206,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12488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5911529,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2712</w:t>
            </w:r>
            <w:r w:rsidRPr="001344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25515680,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75652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320033,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1047283,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4680858,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88392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344F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19467255,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12405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городского округа Красн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1292313,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97904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5001142,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37793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2F37B3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223D4" w:rsidRPr="002F37B3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6079173,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42488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5879006,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2712</w:t>
            </w:r>
            <w:r w:rsidRPr="001344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25147122,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35652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230719,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957969,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0223D4" w:rsidRPr="00240CEF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4607399,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344F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19366714,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0223D4" w:rsidRPr="00B92C9B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1241054,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20547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0223D4" w:rsidRPr="00134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0223D4" w:rsidRPr="001344F3" w:rsidRDefault="000223D4" w:rsidP="007B0D0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4822438,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60436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0223D4" w:rsidRPr="00B92C9B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214032,70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368558,40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0223D4" w:rsidRPr="00B92C9B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0223D4" w:rsidRPr="00B92C9B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73459,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02643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100540,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72643</w:t>
            </w:r>
          </w:p>
        </w:tc>
      </w:tr>
      <w:tr w:rsidR="000223D4" w:rsidRPr="004107D0" w:rsidTr="007B0D09">
        <w:trPr>
          <w:trHeight w:val="859"/>
        </w:trPr>
        <w:tc>
          <w:tcPr>
            <w:tcW w:w="2800" w:type="dxa"/>
            <w:vMerge/>
          </w:tcPr>
          <w:p w:rsidR="000223D4" w:rsidRPr="00B2448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23D4" w:rsidRPr="00B2448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0223D4" w:rsidRPr="00B92C9B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51259,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  <w:tc>
          <w:tcPr>
            <w:tcW w:w="1134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0223D4" w:rsidRPr="001344F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178703,</w:t>
            </w:r>
          </w:p>
          <w:p w:rsidR="000223D4" w:rsidRPr="001344F3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4F3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</w:tr>
    </w:tbl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23D4" w:rsidRPr="00A96EED" w:rsidRDefault="000223D4" w:rsidP="000223D4">
      <w:pPr>
        <w:rPr>
          <w:rFonts w:ascii="Times New Roman" w:hAnsi="Times New Roman"/>
          <w:sz w:val="20"/>
          <w:szCs w:val="20"/>
        </w:rPr>
        <w:sectPr w:rsidR="000223D4" w:rsidRPr="00A96EED" w:rsidSect="00360298">
          <w:headerReference w:type="default" r:id="rId8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0223D4" w:rsidRPr="001E5063" w:rsidRDefault="000223D4" w:rsidP="000223D4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5091"/>
      <w:bookmarkEnd w:id="11"/>
      <w:r w:rsidRPr="001E5063">
        <w:rPr>
          <w:rFonts w:ascii="Times New Roman" w:hAnsi="Times New Roman"/>
          <w:b/>
          <w:sz w:val="24"/>
          <w:szCs w:val="24"/>
        </w:rPr>
        <w:lastRenderedPageBreak/>
        <w:t>11.2 Перечень мероприятий подпрограммы II «Общее Образование»</w:t>
      </w:r>
    </w:p>
    <w:p w:rsidR="000223D4" w:rsidRPr="00A96EED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0223D4" w:rsidRPr="004107D0" w:rsidTr="007B0D09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0223D4" w:rsidRPr="004107D0" w:rsidTr="007B0D09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23D4" w:rsidRPr="00240CEF" w:rsidTr="007B0D09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23705182,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46776</w:t>
            </w:r>
          </w:p>
        </w:tc>
        <w:tc>
          <w:tcPr>
            <w:tcW w:w="992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5739882,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5565444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2F11DB" w:rsidRDefault="000223D4" w:rsidP="007B0D09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0223D4" w:rsidRPr="00690371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низаций общего образования к среднемесячн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  <w:p w:rsidR="000223D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разовательных организаций, получивших вознаграждение за классное 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ководство, в общей числе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ности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такой категории</w:t>
            </w:r>
          </w:p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ционирующих мест в частных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сковской обла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ти и у индив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дуального предпринимат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ля</w:t>
            </w:r>
          </w:p>
        </w:tc>
      </w:tr>
      <w:tr w:rsidR="000223D4" w:rsidRPr="00240CEF" w:rsidTr="007B0D09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436955</w:t>
            </w:r>
          </w:p>
        </w:tc>
        <w:tc>
          <w:tcPr>
            <w:tcW w:w="992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0223D4" w:rsidRPr="00A96EED" w:rsidRDefault="000223D4" w:rsidP="007B0D09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240CEF" w:rsidTr="007B0D09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18608304,70</w:t>
            </w:r>
          </w:p>
        </w:tc>
        <w:tc>
          <w:tcPr>
            <w:tcW w:w="992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240CEF" w:rsidTr="007B0D09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4659922,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76776</w:t>
            </w:r>
          </w:p>
        </w:tc>
        <w:tc>
          <w:tcPr>
            <w:tcW w:w="992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1183127,</w:t>
            </w:r>
          </w:p>
          <w:p w:rsidR="000223D4" w:rsidRPr="001344F3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граждан на получение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чального общего, основного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среднего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 в муниципальных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обеспечение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8652C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3068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1D1A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0223D4" w:rsidRPr="00037FC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37FC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37FC3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гражд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дошкольн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основн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общего, сре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8652C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35730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01.03. Расходы на обеспечение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–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ок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зывающие услуги дошкольного, 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 общего, основного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среднего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3554826,70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853976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F11DB" w:rsidRDefault="000223D4" w:rsidP="007B0D09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lastRenderedPageBreak/>
              <w:t>Управление транспорта, связи и дорожной деятельности</w:t>
            </w:r>
          </w:p>
          <w:p w:rsidR="000223D4" w:rsidRPr="00487A29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3553976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853976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доставлению 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школьного, н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чального общего, основного общ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го, среднего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 образования; содержание им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щества учрежд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3393558</w:t>
            </w:r>
          </w:p>
        </w:tc>
        <w:tc>
          <w:tcPr>
            <w:tcW w:w="992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820803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3393558</w:t>
            </w:r>
          </w:p>
        </w:tc>
        <w:tc>
          <w:tcPr>
            <w:tcW w:w="992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820803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</w:t>
            </w:r>
            <w:r w:rsidRPr="00D13BDB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161268,70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F11DB" w:rsidRDefault="000223D4" w:rsidP="007B0D09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 xml:space="preserve">Управление транспорта, связи и </w:t>
            </w:r>
            <w:r w:rsidRPr="002F11DB">
              <w:lastRenderedPageBreak/>
              <w:t>дорожной деятельности</w:t>
            </w:r>
          </w:p>
          <w:p w:rsidR="000223D4" w:rsidRPr="00487A29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F11DB" w:rsidRDefault="000223D4" w:rsidP="007B0D09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87A29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F129E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87A29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160418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330206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127806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3640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330206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127806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сиональная физ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ческая охрана м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у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реждений в сфере 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общеобразов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431044,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76776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123201,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431044,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76776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123201,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EC1FD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1FD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313752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0223D4" w:rsidRPr="00EC1FD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1FD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69419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313752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69419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0223D4" w:rsidRPr="0021355F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27577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D11DD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D11DD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27577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557DCD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7DCD" w:rsidRDefault="000223D4" w:rsidP="007B0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7DCD" w:rsidRDefault="000223D4" w:rsidP="007B0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DE36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б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ниченными возможностями </w:t>
            </w:r>
            <w:r w:rsidRPr="00DE36DD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обр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ч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реждениях горо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ского округа Красногорск. Ра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0223D4" w:rsidRPr="00557DCD" w:rsidRDefault="000223D4" w:rsidP="007B0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E36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F129E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E36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корректиро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ка и издание обобщающих м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тодических сбо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работ пед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 именных стипендий од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F129E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ального стимул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рования педаг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гических и рук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водящих работн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ков за особые з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слуги, за внедр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ние инновацио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ных образов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lastRenderedPageBreak/>
              <w:t>тельных проектов и технологий, за высокое профе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сиональное ма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4B195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3170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BA1A52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гическая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BA1A52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BA1A52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1C5FA8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ю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щим почетное звание «Засл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женный учитель Российской Фед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1C5FA8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1C5FA8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7B33A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ник «Междун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B33A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B33A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7B33A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ренция педагог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ческой общес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B33A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B33A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BC7588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курс «Педагог г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BC7588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BC7588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8E7B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 ко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в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ных мультим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дийных инсталл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ций молодых п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8E7B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8E7B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8E7B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lastRenderedPageBreak/>
              <w:t>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69037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П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690371" w:rsidRDefault="000223D4" w:rsidP="007B0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8E7B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F129E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8E7BDD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9E02A6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9E02A6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9E02A6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9E02A6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б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ретение, изгото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F129E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2103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дение меропри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тий по подготовке учреждений к оказанию образ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0223D4" w:rsidRPr="00085AA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165CB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2103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ное денежное вознаграждение за классное руков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дство педагогич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ским работникам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заций (Финанс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вое обеспечение государственных гарантий реализ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школьного, 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чального общего, основного общ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го, среднего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щего образования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ской области, обеспечение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полнительного образования детей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ской области, включая расходы на оплату труда, приобретение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пособий, средств обучения, игр, игрушек (за исключением ра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ходов на соде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жание зданий и оплату комм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C46FA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C46FA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3242B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184DB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венная поддержка частных общео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 в Московской 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 и индив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дуальных пре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принимателей, осуществляющих образовательную деятельность по основным общ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образовательным программам 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зования, с целью возмещения ра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 и уход, 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имущ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ства и арендную 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плату за испол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зование помещ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8752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184DB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184DB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5385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184DBA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г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рантий реализ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прав граждан на получение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щедоступного и бесплатного дошкольного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 в 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ганизациях в 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сковской области, общедоступного и бесплатного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школьного, 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чального общего, основного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го, среднего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 образования в муниципальных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обеспеч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ние дополнител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образования детей в муниципальных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 включая расходы на оплату труда, приобрет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учебников и учебных пособий, средств обучения, игр, игрушек (за исключением расходов на 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зданий и оплату комм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12635192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4213592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302303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12332889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0223D4" w:rsidRPr="008E1EAE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лучения гражд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нами дошкольн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образования в частных дошк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льных 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Моско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области,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школьного, 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чального общего, основного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го, среднего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 образования в частных общ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образовательных организациях в Московской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ласти, осущест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ляющих 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деятел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име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 государс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венную аккред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тацию основным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тельным пр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граммам, включая расходы на оплату труда, приобрет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учебников и учебных пособий, средств обучения, игр, игрушек (за исключением 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соде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жание зданий и оплату комм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нальных услуг), и на обеспечение питанием отдел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ных категорий 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обучающихся по очной форме об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в частных общеобразов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Моско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области, осуществляющих образовательную деятельность по имеющим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дарственную 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кредитацию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новным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2C5D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21355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1485683,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08118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319477,</w:t>
            </w:r>
          </w:p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223D4" w:rsidRPr="007132E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0223D4" w:rsidRPr="00D147D1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B47DAF" w:rsidRDefault="000223D4" w:rsidP="007B0D09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0223D4" w:rsidRPr="00B47DA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B47DA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щихся, пол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 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чальное общее образование в государстве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и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организациях, получающих бесплатное 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рячее питание, к общему колич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ству обуча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щихся, пол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 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 xml:space="preserve">чальное общее 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 в государстве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и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организациях</w:t>
            </w:r>
          </w:p>
          <w:p w:rsidR="000223D4" w:rsidRPr="00B47DA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ния, в которых организовано бесплатное 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рячее питание обучающихся, получающих начальное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ние, в соотве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ствии со ста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дартом орган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зации питания обучающихся образовател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ций в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колич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ству муниц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расположенных на территории городского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руга Красн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горск Моско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области и осуществля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программам начального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щего 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  <w:p w:rsidR="000223D4" w:rsidRPr="00B47DAF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чающихся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ти, обеспече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беспла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ным питанием в общей числе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ности отдел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категорий обучающихся муниципальных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ти, подлежащих обеспечению бесплатным питанием в 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ответствии с муниципальн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ми правовыми актами органов местного сам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управления муниципальных образований Московской области</w:t>
            </w:r>
          </w:p>
        </w:tc>
      </w:tr>
      <w:tr w:rsidR="000223D4" w:rsidRPr="004107D0" w:rsidTr="007B0D09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0223D4" w:rsidRPr="000223D4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0223D4" w:rsidRPr="000223D4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0223D4" w:rsidRPr="007132EF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0223D4" w:rsidRPr="00D147D1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0223D4" w:rsidRDefault="000223D4" w:rsidP="007B0D0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767519,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22882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139557,</w:t>
            </w:r>
          </w:p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0223D4" w:rsidRPr="00D147D1" w:rsidRDefault="000223D4" w:rsidP="007B0D0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7132EF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0223D4" w:rsidRPr="00D147D1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86604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233260,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64006,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0223D4" w:rsidRPr="007132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переданного государственного полномочия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 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69037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делам 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2E1D8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2E1D8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2E1D8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отдельным категориям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в 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и в частных общеобразов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0223D4" w:rsidRPr="00184DBA" w:rsidRDefault="000223D4" w:rsidP="007B0D0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BF67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184DBA" w:rsidRDefault="000223D4" w:rsidP="007B0D0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0223D4" w:rsidRPr="00184DBA" w:rsidRDefault="000223D4" w:rsidP="007B0D0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2E1D8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2E1D8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автобусов для доставки об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в 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организации в Московской 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распол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женные в сел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E6D12" w:rsidRDefault="000223D4" w:rsidP="007B0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транспорта, </w:t>
            </w:r>
            <w:r w:rsidRPr="001259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и дорожной деятельности</w:t>
            </w:r>
          </w:p>
          <w:p w:rsidR="000223D4" w:rsidRPr="00FE6D12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164F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0223D4" w:rsidRPr="0018446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подвоза об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обучения в мун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общ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распол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женные в сел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доро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отдельным категориям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в 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организациях в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и в частных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образовательную деятельность по имеющим гос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(за исключ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обучающи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 основным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начал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организациях, кроме детей из многодетных 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5825E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44429</w:t>
            </w:r>
          </w:p>
        </w:tc>
        <w:tc>
          <w:tcPr>
            <w:tcW w:w="992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BF4D7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BF4D7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BF4D7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BF4D7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BF4D7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BF4D70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бесплатного горячего питания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обучающихся, п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чальное общее образование в 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881415,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206988,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0223D4" w:rsidRPr="00D147D1" w:rsidRDefault="000223D4" w:rsidP="007B0D0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484903,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0223D4" w:rsidRPr="00D147D1" w:rsidRDefault="000223D4" w:rsidP="007B0D0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304440,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05058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70376,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5825E1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E2103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FF69D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0223D4" w:rsidRPr="00240CEF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категорий обучающихся,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общее образ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443287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112489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E2103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303299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69181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139988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обучающихся,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воивших образ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BD629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бравших 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220 баллов и более по 3 предметам, к общему колич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E1DBB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–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организации, ок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зывающие услуги дошкольного, 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 общего, основного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среднего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чение и провед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ние государстве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ной итоговой 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тестации об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sz w:val="24"/>
                <w:szCs w:val="24"/>
              </w:rPr>
              <w:lastRenderedPageBreak/>
              <w:t>чающихся, осв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ивших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3F1BDC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81883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дернизации школьных систем образования в рамках государс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венной програ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мы Российской Федерации «Ра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з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витие образов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210822,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24877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210822,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24877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град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(далее-УГД)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ме выполн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 меропри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тия по кап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тальному 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монту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83599,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49798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83599,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49798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25293,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04079</w:t>
            </w:r>
          </w:p>
        </w:tc>
        <w:tc>
          <w:tcPr>
            <w:tcW w:w="992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25293,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04079</w:t>
            </w:r>
          </w:p>
        </w:tc>
        <w:tc>
          <w:tcPr>
            <w:tcW w:w="1276" w:type="dxa"/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3491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тальному ремонту зданий реги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нальных (мун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ципальных)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58086,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58086,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ных зданий общ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образовательных организаций сре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д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E616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заций в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B90D2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95881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временных те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нологических и гуманитарных навыков. Со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дана матер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ально-техническая база для реал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зации основных и дополнител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общеобр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рового и гум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нитарного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женных в сел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  <w:p w:rsidR="000223D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вательных 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стности и м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лых городах, созданы и функционируют центры 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вания естес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венно-научной и технологич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ской напра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  <w:p w:rsidR="000223D4" w:rsidRPr="00F24BF8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0223D4" w:rsidRPr="004107D0" w:rsidTr="007B0D09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09182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11870 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69725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5B4D4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0223D4" w:rsidRPr="00D147D1" w:rsidRDefault="000223D4" w:rsidP="007B0D0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материально-технической базы в организациях, осуществляющих образовательную деятельность и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ключительно по адаптированным основным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FD139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7332F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0223D4" w:rsidRPr="00D147D1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23D4" w:rsidRPr="008B36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Е1.05. Создание и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функциониров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центров обр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естес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венно-научной и технологической направленностей в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распол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в сел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14035,71405</w:t>
            </w:r>
          </w:p>
        </w:tc>
        <w:tc>
          <w:tcPr>
            <w:tcW w:w="992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10270,03468</w:t>
            </w:r>
          </w:p>
        </w:tc>
        <w:tc>
          <w:tcPr>
            <w:tcW w:w="992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3423,34487</w:t>
            </w:r>
          </w:p>
        </w:tc>
        <w:tc>
          <w:tcPr>
            <w:tcW w:w="992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23D4" w:rsidRPr="004107D0" w:rsidTr="007B0D0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0223D4" w:rsidRPr="007332F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2" w:name="P25781"/>
      <w:bookmarkEnd w:id="12"/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2363CE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223D4" w:rsidRPr="002363CE" w:rsidTr="007B0D09">
        <w:trPr>
          <w:trHeight w:val="453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№ №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(адрес объекта)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няемых работ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работ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5670" w:type="dxa"/>
            <w:gridSpan w:val="6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сметной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0223D4" w:rsidRPr="002363CE" w:rsidTr="007B0D0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240"/>
        </w:trPr>
        <w:tc>
          <w:tcPr>
            <w:tcW w:w="41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23D4" w:rsidRPr="002363CE" w:rsidTr="007B0D0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Красногорск, мкр. Опалиха, ул.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96323,94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96323,94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3D4" w:rsidRPr="002363CE" w:rsidTr="007B0D0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34151,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74429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34151,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74429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39571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9632,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39571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67453,76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67453,76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3D4" w:rsidRPr="002363CE" w:rsidTr="007B0D09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23934,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28214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23934,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28214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37786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6745,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37786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163777,70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163777,70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58086,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02643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58086,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02643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  <w:tc>
          <w:tcPr>
            <w:tcW w:w="709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D147D1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16377,</w:t>
            </w:r>
          </w:p>
          <w:p w:rsidR="000223D4" w:rsidRPr="00D147D1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D1">
              <w:rPr>
                <w:rFonts w:ascii="Times New Roman" w:hAnsi="Times New Roman"/>
                <w:sz w:val="24"/>
                <w:szCs w:val="24"/>
              </w:rPr>
              <w:t>77357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0F17C5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223D4" w:rsidRPr="002363CE" w:rsidRDefault="000223D4" w:rsidP="000223D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223D4" w:rsidRPr="002363CE" w:rsidRDefault="000223D4" w:rsidP="000223D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223D4" w:rsidRPr="002363CE" w:rsidTr="007B0D09">
        <w:trPr>
          <w:trHeight w:val="453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№ №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(адрес объекта)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няемых работ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работ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5670" w:type="dxa"/>
            <w:gridSpan w:val="6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сметной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0223D4" w:rsidRPr="002363CE" w:rsidTr="007B0D0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240"/>
        </w:trPr>
        <w:tc>
          <w:tcPr>
            <w:tcW w:w="41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23D4" w:rsidRPr="002363CE" w:rsidTr="007B0D0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г. Красногорск, мкр. Опалиха, ул.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3D4" w:rsidRPr="002363CE" w:rsidTr="007B0D0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0223D4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906,00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3D4" w:rsidRPr="002363CE" w:rsidTr="007B0D0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223D4" w:rsidRPr="002363CE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0223D4" w:rsidRPr="002363CE" w:rsidRDefault="000223D4" w:rsidP="007B0D0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F45FEB" w:rsidRDefault="000223D4" w:rsidP="000223D4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223D4" w:rsidRPr="00CD4057" w:rsidRDefault="000223D4" w:rsidP="000223D4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0223D4" w:rsidRPr="00CD4057" w:rsidRDefault="000223D4" w:rsidP="000223D4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0223D4" w:rsidRPr="004107D0" w:rsidTr="007B0D09">
        <w:trPr>
          <w:trHeight w:val="328"/>
        </w:trPr>
        <w:tc>
          <w:tcPr>
            <w:tcW w:w="2800" w:type="dxa"/>
          </w:tcPr>
          <w:p w:rsidR="000223D4" w:rsidRPr="00CD40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0223D4" w:rsidRPr="004107D0" w:rsidTr="007B0D09">
        <w:tc>
          <w:tcPr>
            <w:tcW w:w="2800" w:type="dxa"/>
            <w:vMerge w:val="restart"/>
          </w:tcPr>
          <w:p w:rsidR="000223D4" w:rsidRPr="00CD40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lastRenderedPageBreak/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0223D4" w:rsidRPr="00CD40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lastRenderedPageBreak/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lastRenderedPageBreak/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0223D4" w:rsidRPr="004107D0" w:rsidTr="007B0D09">
        <w:trPr>
          <w:trHeight w:val="202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0223D4" w:rsidRPr="002F37B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CD40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77289,</w:t>
            </w:r>
          </w:p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373821,15342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CD4057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0223D4" w:rsidRPr="004107D0" w:rsidTr="007B0D09">
        <w:trPr>
          <w:trHeight w:val="338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0223D4" w:rsidRPr="004107D0" w:rsidTr="007B0D09">
        <w:trPr>
          <w:trHeight w:val="318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74399,</w:t>
            </w:r>
          </w:p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353012,69342</w:t>
            </w:r>
          </w:p>
        </w:tc>
      </w:tr>
      <w:tr w:rsidR="000223D4" w:rsidRPr="004107D0" w:rsidTr="007B0D09">
        <w:trPr>
          <w:trHeight w:val="382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223D4" w:rsidRPr="00CD4057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77289,</w:t>
            </w:r>
          </w:p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373821,15342</w:t>
            </w:r>
          </w:p>
        </w:tc>
      </w:tr>
      <w:tr w:rsidR="000223D4" w:rsidRPr="004107D0" w:rsidTr="007B0D09">
        <w:trPr>
          <w:trHeight w:val="382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0223D4" w:rsidRPr="004107D0" w:rsidTr="007B0D09">
        <w:trPr>
          <w:trHeight w:val="382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0223D4" w:rsidRPr="004107D0" w:rsidTr="007B0D09">
        <w:trPr>
          <w:trHeight w:val="382"/>
        </w:trPr>
        <w:tc>
          <w:tcPr>
            <w:tcW w:w="2800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CD4057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0223D4" w:rsidRPr="002F37B3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74399,</w:t>
            </w:r>
          </w:p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850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0223D4" w:rsidRPr="000223D4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0223D4" w:rsidRPr="000223D4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353012,69342</w:t>
            </w:r>
          </w:p>
        </w:tc>
      </w:tr>
    </w:tbl>
    <w:p w:rsidR="000223D4" w:rsidRDefault="000223D4" w:rsidP="000223D4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13" w:name="P26102"/>
      <w:bookmarkEnd w:id="13"/>
    </w:p>
    <w:p w:rsidR="000223D4" w:rsidRDefault="000223D4" w:rsidP="000223D4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Pr="00431E77" w:rsidRDefault="000223D4" w:rsidP="000223D4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0223D4" w:rsidRPr="004107D0" w:rsidTr="007B0D09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ный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подпрогра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0223D4" w:rsidRPr="004107D0" w:rsidTr="007B0D09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431E7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431E7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240875,</w:t>
            </w:r>
          </w:p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0223D4" w:rsidRPr="000223D4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49482,2224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1711F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разования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0223D4" w:rsidRPr="00087179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6C433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240875,</w:t>
            </w:r>
          </w:p>
          <w:p w:rsidR="000223D4" w:rsidRPr="000223D4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0223D4" w:rsidRPr="000223D4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49482,2224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организации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E0214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ных услуг по предо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с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тавлению дополн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 Профессиональная ф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зическая охрана мун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ципальных учреждений дополнительного обр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184DB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</w:t>
            </w:r>
          </w:p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A1D07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A1FE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венного и технического  творчества «Юные 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A1FE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A1FE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A1FE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</w:t>
            </w:r>
            <w:r w:rsidRPr="002A1FEA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ученических сообществ и кружковой деятел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ности технической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A1FE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A1FEA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8313AC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дения курсов повыш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ния квалификации и профессиональной п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реподготовки педаг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ч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но-практических ко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ференций по внедр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нию технологий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вентивной профила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к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тики суицидального поведения у подрос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т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8313AC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8313AC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8A424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ской общественности и  специалистам системы образования городск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 xml:space="preserve">но-психологической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lastRenderedPageBreak/>
              <w:t>помощи несоверше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8A424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8A424F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01039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01039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01039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мероприятий, конференций, круглых столов, конкурсов 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правленных на восп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тание патриотизма, 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лерантности, ответс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lastRenderedPageBreak/>
              <w:t>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ношения к труду,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лению здоровья об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чающихся и воспита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16DA5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02A2E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02A2E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02A2E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02A2E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02A2E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702A2E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312D97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разования естественно-научной и технолог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ческой направленн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3D4" w:rsidRPr="003E394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558D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правленных на пов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ы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шение эффективности воспитательной де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я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тельности в системе образования, физич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ской культуры и спо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та, культуры и уровня психолого-педагогической по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д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ков организ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ций дополн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тельного 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разования д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тей к средней заработной плате учит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лей в Моско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3D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3D4">
              <w:rPr>
                <w:rFonts w:ascii="Times New Roman" w:hAnsi="Times New Roman"/>
                <w:sz w:val="24"/>
                <w:szCs w:val="24"/>
              </w:rPr>
              <w:t>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3D4" w:rsidRP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A96EE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ционирования модели персонифицированного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ваченных д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полнительным образованием</w:t>
            </w: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70211" w:rsidRDefault="000223D4" w:rsidP="007B0D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D2A1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3248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0F737A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92A0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92A0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4561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ваченных д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образ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  <w:p w:rsidR="000223D4" w:rsidRPr="00345618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стью детских технопарков "Кванториум" (мобильных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технопарков "Квантор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ум") и других проектов, 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доступн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естес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веннонаучной и технической направленн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приорите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вые места в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грамм всех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92A0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92A0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25AD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70211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0223D4" w:rsidRPr="00142DA7" w:rsidRDefault="000223D4" w:rsidP="007B0D0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A3ED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448C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4561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4561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448C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92A0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692A0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45618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0223D4" w:rsidRPr="00142DA7" w:rsidRDefault="000223D4" w:rsidP="007B0D0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448C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0223D4" w:rsidRPr="00142DA7" w:rsidRDefault="000223D4" w:rsidP="007B0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448CB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E773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Pr="00035271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0223D4" w:rsidRPr="00FA723E" w:rsidRDefault="000223D4" w:rsidP="000223D4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223D4" w:rsidRPr="003C74F3" w:rsidRDefault="000223D4" w:rsidP="000223D4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42261"/>
      <w:bookmarkEnd w:id="14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0223D4" w:rsidRPr="003C74F3" w:rsidRDefault="000223D4" w:rsidP="000223D4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223D4" w:rsidRPr="003C74F3" w:rsidRDefault="000223D4" w:rsidP="000223D4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0223D4" w:rsidRPr="0053422A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Pr="0053422A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0223D4" w:rsidRPr="004107D0" w:rsidTr="007B0D09">
        <w:trPr>
          <w:trHeight w:val="328"/>
        </w:trPr>
        <w:tc>
          <w:tcPr>
            <w:tcW w:w="2800" w:type="dxa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0223D4" w:rsidRPr="004107D0" w:rsidTr="007B0D09">
        <w:tc>
          <w:tcPr>
            <w:tcW w:w="2800" w:type="dxa"/>
            <w:vMerge w:val="restart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223D4" w:rsidRPr="004107D0" w:rsidTr="007B0D09">
        <w:trPr>
          <w:trHeight w:val="202"/>
        </w:trPr>
        <w:tc>
          <w:tcPr>
            <w:tcW w:w="2800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223D4" w:rsidRPr="003C74F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3C74F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3C74F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3C74F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223D4" w:rsidRPr="003C74F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3C74F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3C74F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Pr="003C74F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Pr="003C74F3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223D4" w:rsidRPr="00811D4B" w:rsidRDefault="000223D4" w:rsidP="000223D4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0223D4" w:rsidRPr="0053422A" w:rsidRDefault="000223D4" w:rsidP="000223D4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0223D4" w:rsidRPr="004107D0" w:rsidTr="007B0D09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венный за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Результаты выполнения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подпрогра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0223D4" w:rsidRPr="004107D0" w:rsidTr="007B0D09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3836F2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3D4" w:rsidRPr="003836F2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23D4" w:rsidRPr="004107D0" w:rsidTr="007B0D09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0223D4" w:rsidRPr="00596DBD" w:rsidRDefault="000223D4" w:rsidP="007B0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E5. Фед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D4" w:rsidRPr="00EA5EE2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квалификации</w:t>
            </w:r>
          </w:p>
        </w:tc>
      </w:tr>
      <w:tr w:rsidR="000223D4" w:rsidRPr="004107D0" w:rsidTr="007B0D09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0223D4" w:rsidRPr="00596DBD" w:rsidRDefault="000223D4" w:rsidP="007B0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23D4" w:rsidRPr="004107D0" w:rsidTr="007B0D0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0223D4" w:rsidRPr="00596DBD" w:rsidRDefault="000223D4" w:rsidP="007B0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0223D4" w:rsidRPr="00596DBD" w:rsidRDefault="000223D4" w:rsidP="007B0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23D4" w:rsidRPr="00596DBD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23D4" w:rsidRPr="00EA3785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15" w:name="P45371"/>
      <w:bookmarkStart w:id="16" w:name="P46233"/>
      <w:bookmarkEnd w:id="15"/>
      <w:bookmarkEnd w:id="16"/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Pr="00F158D6" w:rsidRDefault="000223D4" w:rsidP="000223D4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0223D4" w:rsidRPr="00F158D6" w:rsidRDefault="000223D4" w:rsidP="000223D4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0223D4" w:rsidRPr="00F158D6" w:rsidRDefault="000223D4" w:rsidP="000223D4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0223D4" w:rsidRPr="00F158D6" w:rsidRDefault="000223D4" w:rsidP="000223D4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0223D4" w:rsidRPr="0053422A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0223D4" w:rsidRPr="004107D0" w:rsidTr="007B0D09">
        <w:trPr>
          <w:trHeight w:val="328"/>
        </w:trPr>
        <w:tc>
          <w:tcPr>
            <w:tcW w:w="2800" w:type="dxa"/>
          </w:tcPr>
          <w:p w:rsidR="000223D4" w:rsidRPr="00F158D6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0223D4" w:rsidRPr="004107D0" w:rsidTr="007B0D09">
        <w:tc>
          <w:tcPr>
            <w:tcW w:w="2800" w:type="dxa"/>
            <w:vMerge w:val="restart"/>
          </w:tcPr>
          <w:p w:rsidR="000223D4" w:rsidRPr="00F158D6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223D4" w:rsidRPr="004107D0" w:rsidTr="007B0D09">
        <w:trPr>
          <w:trHeight w:val="202"/>
        </w:trPr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223D4" w:rsidRPr="002F37B3" w:rsidRDefault="000223D4" w:rsidP="007B0D0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398575,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0223D4" w:rsidRPr="004107D0" w:rsidTr="007B0D09"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398413,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223D4" w:rsidRPr="002F37B3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223D4" w:rsidRPr="002F37B3" w:rsidRDefault="000223D4" w:rsidP="007B0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398575,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0223D4" w:rsidRPr="004107D0" w:rsidTr="007B0D09">
        <w:trPr>
          <w:trHeight w:val="474"/>
        </w:trPr>
        <w:tc>
          <w:tcPr>
            <w:tcW w:w="2800" w:type="dxa"/>
            <w:vMerge/>
          </w:tcPr>
          <w:p w:rsidR="000223D4" w:rsidRPr="00F158D6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223D4" w:rsidRPr="002F37B3" w:rsidRDefault="000223D4" w:rsidP="007B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23D4" w:rsidRPr="002F37B3" w:rsidRDefault="000223D4" w:rsidP="007B0D09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0223D4" w:rsidRPr="002F37B3" w:rsidRDefault="000223D4" w:rsidP="007B0D0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0223D4" w:rsidRPr="00142DA7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0223D4" w:rsidRPr="00516835" w:rsidRDefault="000223D4" w:rsidP="007B0D0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398413,</w:t>
            </w:r>
          </w:p>
          <w:p w:rsidR="000223D4" w:rsidRPr="00516835" w:rsidRDefault="000223D4" w:rsidP="007B0D0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</w:tbl>
    <w:p w:rsidR="000223D4" w:rsidRPr="0053422A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0223D4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0223D4" w:rsidRPr="00AC2076" w:rsidRDefault="000223D4" w:rsidP="000223D4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0223D4" w:rsidRPr="00F158D6" w:rsidRDefault="000223D4" w:rsidP="000223D4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0223D4" w:rsidRPr="004107D0" w:rsidTr="007B0D09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0223D4" w:rsidRPr="004107D0" w:rsidTr="007B0D09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23D4" w:rsidRPr="004107D0" w:rsidTr="007B0D0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условий для реализации полномочий 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398575,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F158D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398413,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82156,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 - учреждения в сфере образов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19288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142DA7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240CEF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219126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 (ме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уче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комбинаты, хозяйственные эксплуатацио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F42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23D4" w:rsidRPr="004107D0" w:rsidTr="007B0D0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A96EED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тичные компе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 за наем жилых помещ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325ADB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D21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3D4" w:rsidRPr="004107D0" w:rsidTr="007B0D0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CD2184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D4" w:rsidRPr="00516835" w:rsidRDefault="000223D4" w:rsidP="007B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D4" w:rsidRPr="00B235F6" w:rsidRDefault="000223D4" w:rsidP="007B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3D4" w:rsidRPr="0053422A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0223D4" w:rsidRPr="0053422A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0223D4" w:rsidRPr="00A96EED" w:rsidRDefault="000223D4" w:rsidP="000223D4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0223D4">
      <w:pPr>
        <w:spacing w:after="0"/>
        <w:ind w:left="8496" w:firstLine="708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5F" w:rsidRDefault="005F2A5F" w:rsidP="00F50CEF">
      <w:pPr>
        <w:spacing w:after="0" w:line="240" w:lineRule="auto"/>
      </w:pPr>
      <w:r>
        <w:separator/>
      </w:r>
    </w:p>
  </w:endnote>
  <w:endnote w:type="continuationSeparator" w:id="0">
    <w:p w:rsidR="005F2A5F" w:rsidRDefault="005F2A5F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5F" w:rsidRDefault="005F2A5F" w:rsidP="00F50CEF">
      <w:pPr>
        <w:spacing w:after="0" w:line="240" w:lineRule="auto"/>
      </w:pPr>
      <w:r>
        <w:separator/>
      </w:r>
    </w:p>
  </w:footnote>
  <w:footnote w:type="continuationSeparator" w:id="0">
    <w:p w:rsidR="005F2A5F" w:rsidRDefault="005F2A5F" w:rsidP="00F50CEF">
      <w:pPr>
        <w:spacing w:after="0" w:line="240" w:lineRule="auto"/>
      </w:pPr>
      <w:r>
        <w:continuationSeparator/>
      </w:r>
    </w:p>
  </w:footnote>
  <w:footnote w:id="1">
    <w:p w:rsidR="000223D4" w:rsidRDefault="000223D4" w:rsidP="000223D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0223D4" w:rsidRPr="007E5754" w:rsidRDefault="000223D4" w:rsidP="000223D4">
      <w:pPr>
        <w:pStyle w:val="a9"/>
        <w:rPr>
          <w:lang w:val="ru-RU"/>
        </w:rPr>
      </w:pPr>
    </w:p>
  </w:footnote>
  <w:footnote w:id="2">
    <w:p w:rsidR="000223D4" w:rsidRPr="000D428A" w:rsidRDefault="000223D4" w:rsidP="000223D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0223D4" w:rsidRPr="008B36BA" w:rsidRDefault="000223D4" w:rsidP="000223D4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0223D4" w:rsidRPr="00DA6726" w:rsidRDefault="000223D4" w:rsidP="000223D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D4" w:rsidRDefault="000223D4">
    <w:pPr>
      <w:pStyle w:val="a5"/>
      <w:jc w:val="center"/>
    </w:pPr>
    <w:fldSimple w:instr=" PAGE   \* MERGEFORMAT ">
      <w:r w:rsidR="00F87983">
        <w:rPr>
          <w:noProof/>
        </w:rPr>
        <w:t>4</w:t>
      </w:r>
    </w:fldSimple>
  </w:p>
  <w:p w:rsidR="000223D4" w:rsidRDefault="000223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23D4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C88"/>
    <w:rsid w:val="000B2700"/>
    <w:rsid w:val="000B2BE7"/>
    <w:rsid w:val="000B2F45"/>
    <w:rsid w:val="000B322E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068F"/>
    <w:rsid w:val="00131E88"/>
    <w:rsid w:val="00132744"/>
    <w:rsid w:val="001344F3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1532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4D00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336F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F3"/>
    <w:rsid w:val="002D40C2"/>
    <w:rsid w:val="002D4BF1"/>
    <w:rsid w:val="002E0123"/>
    <w:rsid w:val="002E0895"/>
    <w:rsid w:val="002E1294"/>
    <w:rsid w:val="002E1D8B"/>
    <w:rsid w:val="002E2603"/>
    <w:rsid w:val="002E2BF9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2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09A"/>
    <w:rsid w:val="0035447E"/>
    <w:rsid w:val="00355789"/>
    <w:rsid w:val="00355981"/>
    <w:rsid w:val="0035730C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6CCE"/>
    <w:rsid w:val="0037733E"/>
    <w:rsid w:val="003806AD"/>
    <w:rsid w:val="0038090C"/>
    <w:rsid w:val="00381D2B"/>
    <w:rsid w:val="003836F2"/>
    <w:rsid w:val="00385A38"/>
    <w:rsid w:val="00386D88"/>
    <w:rsid w:val="003906F1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6295"/>
    <w:rsid w:val="003D6D6F"/>
    <w:rsid w:val="003E0D75"/>
    <w:rsid w:val="003E13F9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C3B"/>
    <w:rsid w:val="004518D0"/>
    <w:rsid w:val="00451C52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1058"/>
    <w:rsid w:val="004D3703"/>
    <w:rsid w:val="004E0D83"/>
    <w:rsid w:val="004E12C0"/>
    <w:rsid w:val="004E2ED7"/>
    <w:rsid w:val="004E4B45"/>
    <w:rsid w:val="004E70FB"/>
    <w:rsid w:val="004E746E"/>
    <w:rsid w:val="004F0F84"/>
    <w:rsid w:val="004F16A5"/>
    <w:rsid w:val="004F2934"/>
    <w:rsid w:val="004F4390"/>
    <w:rsid w:val="004F6C48"/>
    <w:rsid w:val="00501691"/>
    <w:rsid w:val="005021F0"/>
    <w:rsid w:val="0050224F"/>
    <w:rsid w:val="0050251D"/>
    <w:rsid w:val="00505485"/>
    <w:rsid w:val="0050578F"/>
    <w:rsid w:val="0050595E"/>
    <w:rsid w:val="00505A8C"/>
    <w:rsid w:val="00506341"/>
    <w:rsid w:val="00507457"/>
    <w:rsid w:val="00507862"/>
    <w:rsid w:val="00510280"/>
    <w:rsid w:val="00511F36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00B7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2A5F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0BDF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25A7"/>
    <w:rsid w:val="006E3DEF"/>
    <w:rsid w:val="006E4210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34B7"/>
    <w:rsid w:val="007540BA"/>
    <w:rsid w:val="00754289"/>
    <w:rsid w:val="00756F8B"/>
    <w:rsid w:val="00761107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A1AD9"/>
    <w:rsid w:val="007A4D59"/>
    <w:rsid w:val="007A50CE"/>
    <w:rsid w:val="007A6811"/>
    <w:rsid w:val="007A6F37"/>
    <w:rsid w:val="007A7C86"/>
    <w:rsid w:val="007B0716"/>
    <w:rsid w:val="007B0D09"/>
    <w:rsid w:val="007B33AA"/>
    <w:rsid w:val="007B68AD"/>
    <w:rsid w:val="007B6FEE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C61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922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D7FB9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729D"/>
    <w:rsid w:val="00A475C9"/>
    <w:rsid w:val="00A47B7D"/>
    <w:rsid w:val="00A50F4A"/>
    <w:rsid w:val="00A51F17"/>
    <w:rsid w:val="00A52B5D"/>
    <w:rsid w:val="00A543A6"/>
    <w:rsid w:val="00A60253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2A5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C20"/>
    <w:rsid w:val="00BE1A52"/>
    <w:rsid w:val="00BE1D8D"/>
    <w:rsid w:val="00BE2012"/>
    <w:rsid w:val="00BE33E2"/>
    <w:rsid w:val="00BE4829"/>
    <w:rsid w:val="00BE4B9D"/>
    <w:rsid w:val="00BE4BC4"/>
    <w:rsid w:val="00BE5BC3"/>
    <w:rsid w:val="00BE69CE"/>
    <w:rsid w:val="00BE7BB9"/>
    <w:rsid w:val="00BF06BA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5C24"/>
    <w:rsid w:val="00CA5DA4"/>
    <w:rsid w:val="00CA6263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878"/>
    <w:rsid w:val="00E47DF5"/>
    <w:rsid w:val="00E508B5"/>
    <w:rsid w:val="00E50DA8"/>
    <w:rsid w:val="00E50FE2"/>
    <w:rsid w:val="00E5426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87983"/>
    <w:rsid w:val="00F90AA9"/>
    <w:rsid w:val="00F91362"/>
    <w:rsid w:val="00F916AD"/>
    <w:rsid w:val="00F948FC"/>
    <w:rsid w:val="00F949D3"/>
    <w:rsid w:val="00F94B93"/>
    <w:rsid w:val="00F94CFE"/>
    <w:rsid w:val="00F95065"/>
    <w:rsid w:val="00F96370"/>
    <w:rsid w:val="00F97971"/>
    <w:rsid w:val="00FA15AF"/>
    <w:rsid w:val="00FA234D"/>
    <w:rsid w:val="00FA42A8"/>
    <w:rsid w:val="00FA4557"/>
    <w:rsid w:val="00FA493A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0AC0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7FDC-0D51-4608-B7B6-29D1F1A3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21576</Words>
  <Characters>122985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144273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Igor</cp:lastModifiedBy>
  <cp:revision>2</cp:revision>
  <cp:lastPrinted>2022-06-02T06:59:00Z</cp:lastPrinted>
  <dcterms:created xsi:type="dcterms:W3CDTF">2022-06-24T20:40:00Z</dcterms:created>
  <dcterms:modified xsi:type="dcterms:W3CDTF">2022-06-24T20:40:00Z</dcterms:modified>
</cp:coreProperties>
</file>