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570F91" w:rsidRPr="00570F91" w:rsidRDefault="00570F91" w:rsidP="0057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70F9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6C35B91F" wp14:editId="640BC721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570F91" w:rsidRPr="008C3D50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B3B8D" w:rsidRPr="00570F91" w:rsidRDefault="00570F91" w:rsidP="00570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____№______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219/1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</w:t>
      </w: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BB09D5" w:rsidRPr="00570F91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570F91" w:rsidRPr="007B3B8D" w:rsidRDefault="00570F91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2D1C82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186CA3" w:rsidRPr="00186CA3">
        <w:rPr>
          <w:rFonts w:ascii="Times New Roman" w:hAnsi="Times New Roman"/>
          <w:sz w:val="28"/>
        </w:rPr>
        <w:t>тра</w:t>
      </w:r>
      <w:r w:rsidR="00715666">
        <w:rPr>
          <w:rFonts w:ascii="Times New Roman" w:hAnsi="Times New Roman"/>
          <w:sz w:val="28"/>
        </w:rPr>
        <w:t>нсформаторной подстанции ТП-153</w:t>
      </w:r>
      <w:r w:rsidR="00186CA3" w:rsidRPr="00186CA3">
        <w:rPr>
          <w:rFonts w:ascii="Times New Roman" w:hAnsi="Times New Roman"/>
          <w:sz w:val="28"/>
        </w:rPr>
        <w:t xml:space="preserve"> с кадастровым номером 50:11:0040213:741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5" w:history="1">
        <w:r w:rsidR="00FA5D65" w:rsidRPr="004D5C68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  <w:r w:rsidR="00FA5D65">
        <w:rPr>
          <w:rFonts w:ascii="Times New Roman" w:hAnsi="Times New Roman"/>
          <w:sz w:val="28"/>
        </w:rPr>
        <w:t xml:space="preserve"> Управлению земельных отношений Администрации городского округа Красногорск</w:t>
      </w:r>
      <w:r w:rsidR="007B3B8D">
        <w:rPr>
          <w:rFonts w:ascii="Times New Roman" w:hAnsi="Times New Roman"/>
          <w:sz w:val="28"/>
        </w:rPr>
        <w:t xml:space="preserve"> в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2D1C82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>
        <w:rPr>
          <w:rFonts w:ascii="Times New Roman" w:hAnsi="Times New Roman"/>
          <w:sz w:val="28"/>
        </w:rPr>
        <w:t xml:space="preserve">  </w:t>
      </w:r>
    </w:p>
    <w:p w:rsidR="007B3B8D" w:rsidRPr="002D1C82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15666">
        <w:rPr>
          <w:rFonts w:ascii="Times New Roman" w:hAnsi="Times New Roman"/>
          <w:sz w:val="24"/>
          <w:szCs w:val="24"/>
        </w:rPr>
        <w:t xml:space="preserve">    Приложение к бланку № 016979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64413" w:rsidRDefault="00664413" w:rsidP="00664413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2D1C82" w:rsidRPr="00B31534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9700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    </w:t>
      </w:r>
      <w:r w:rsidR="00715666">
        <w:rPr>
          <w:rFonts w:ascii="Times New Roman" w:hAnsi="Times New Roman"/>
          <w:sz w:val="24"/>
          <w:szCs w:val="24"/>
        </w:rPr>
        <w:t>Приложение к бланку № 016979</w:t>
      </w:r>
      <w:bookmarkStart w:id="0" w:name="_GoBack"/>
      <w:bookmarkEnd w:id="0"/>
    </w:p>
    <w:sectPr w:rsidR="002D1C82" w:rsidRPr="00B31534" w:rsidSect="002D1C82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133CB5"/>
    <w:rsid w:val="00186CA3"/>
    <w:rsid w:val="00197000"/>
    <w:rsid w:val="002D1C82"/>
    <w:rsid w:val="00313328"/>
    <w:rsid w:val="003A7C1D"/>
    <w:rsid w:val="00570F91"/>
    <w:rsid w:val="005734EF"/>
    <w:rsid w:val="00664413"/>
    <w:rsid w:val="00666B11"/>
    <w:rsid w:val="0068561E"/>
    <w:rsid w:val="00715666"/>
    <w:rsid w:val="007B3B8D"/>
    <w:rsid w:val="0083747D"/>
    <w:rsid w:val="00881246"/>
    <w:rsid w:val="00AC3EFF"/>
    <w:rsid w:val="00B31534"/>
    <w:rsid w:val="00BB09D5"/>
    <w:rsid w:val="00D21B55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5D65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570F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rn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2021-01-26T13:11:00Z</cp:lastPrinted>
  <dcterms:created xsi:type="dcterms:W3CDTF">2021-02-01T12:18:00Z</dcterms:created>
  <dcterms:modified xsi:type="dcterms:W3CDTF">2021-02-01T12:19:00Z</dcterms:modified>
</cp:coreProperties>
</file>