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E600EB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E600EB" w:rsidRPr="00E60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01.07.</w:t>
      </w:r>
      <w:r w:rsidR="00E600EB" w:rsidRPr="00E600E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2019</w:t>
      </w:r>
      <w:bookmarkEnd w:id="0"/>
      <w:r w:rsidR="00E60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00EB" w:rsidRPr="00E6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EB" w:rsidRPr="00E60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1476/7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4026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4026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4026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4026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4026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4026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C5F85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807 379,22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</w:t>
            </w:r>
            <w:r w:rsidR="007B7043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86432C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816 614,07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150 066,46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1F7DB7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C5F85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190 889,04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648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E94964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948 296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648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0B39E1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442 408,26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1 834 6</w:t>
            </w:r>
            <w:r w:rsidR="008B26D9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B61EC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1 824 910,07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576 443,46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1F7DB7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социально-экономического развития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энергетических ресурсов посредством применения эффективных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Жилищный фонд.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оборудования по балансировке и регулировке температурного режима.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3. Строительство, реконструкция, капитальный ремонт, приобретение, монтаж и ввод в эксплуатацию объектов коммунальной инфраструктуры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89"/>
      <w:bookmarkEnd w:id="2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4026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4026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</w:t>
            </w:r>
            <w:r w:rsidR="00616F0A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овленных ВЗУ, ВНС и станций водоподготовки</w:t>
            </w:r>
          </w:p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4026E2" w:rsidRDefault="00184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026E2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Чистая вода -</w:t>
            </w:r>
          </w:p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026E2" w:rsidRPr="004026E2" w:rsidTr="00012E9E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993A1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2487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4026E2" w:rsidTr="00507AFB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задолженности за потреблённые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4026E2" w:rsidTr="006E5CD6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дебиторской задолженности населения перед организациями ТЭК (ЖКХ без долгов)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Качество и доступность услуг ЖКХ (в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05A3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7A05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7A05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2FA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7A12F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7A12F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CD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 -</w:t>
            </w:r>
          </w:p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зданий, строений,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сооружений органов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Бережливый учет – 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многоквартирных домов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оснащённых общедомовыми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приборами учёта 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7860" w:rsidRPr="004026E2" w:rsidRDefault="0018424E" w:rsidP="004026E2">
      <w:pPr>
        <w:shd w:val="clear" w:color="auto" w:fill="FFFFFF" w:themeFill="background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3" w:name="Par335"/>
      <w:bookmarkEnd w:id="3"/>
      <w:r w:rsidRPr="00402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402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4026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4026E2" w:rsidRDefault="00537860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4026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4026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4026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r w:rsidR="00616F0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водоподготовки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4026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4026E2" w:rsidRDefault="00472340" w:rsidP="004026E2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4026E2" w:rsidRDefault="0047234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</w:t>
            </w:r>
            <w:r w:rsidR="00240A03"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Системы водоотведения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4026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4026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4026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4026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507AFB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Снижение задолженности за потреблённые топливно-энергетические ресурсы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(ЖКХ без долгов)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отношение </w:t>
            </w:r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просроченной задолженности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и управляющих организаций (в части оплаты задолженности за электроэнергию) перед поставщиками (за поставку и транспортировку газа, электроэнергии, теплоносителя), осуществляющих деятельность на территории муниципалитета на отчётную дату в руб. к плановому суммарному начислению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ресурсоснабжающим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организациям за поставку и транспортировку газа, электроэнергии, теплоносителя в муниципалитете на 2019 год в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руб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, умноженное на 365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4026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4026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4026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4026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4026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где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 – оценка показателя муниципального образования;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6E5CD6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4026E2" w:rsidRDefault="006E5CD6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lastRenderedPageBreak/>
              <w:t>ЖКХ без долгов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6E5CD6" w:rsidRPr="004026E2" w:rsidRDefault="006E5CD6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5C6ACD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Кмкд.тэ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4026E2" w:rsidRDefault="004E5F5A" w:rsidP="004026E2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4026E2" w:rsidRDefault="00B615E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4026E2" w:rsidRDefault="0018424E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4026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4026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67 284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409 345,9</w:t>
            </w:r>
          </w:p>
        </w:tc>
      </w:tr>
      <w:tr w:rsidR="00263ADF" w:rsidRPr="004026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65 651,90</w:t>
            </w:r>
          </w:p>
        </w:tc>
      </w:tr>
      <w:tr w:rsidR="00263ADF" w:rsidRPr="004026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E9496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164 554</w:t>
            </w:r>
          </w:p>
        </w:tc>
      </w:tr>
      <w:tr w:rsidR="00263ADF" w:rsidRPr="004026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4"/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4026E2" w:rsidRDefault="0018424E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5" w:name="_Hlk498508694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409 345,9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67 284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65 651,90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56 972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E94964" w:rsidRDefault="00E9496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5"/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4026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169 189,7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10 593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4 635,70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281,00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164 554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242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10 312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4026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4026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E7B53" w:rsidRPr="004026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E7B53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E7B53" w:rsidRPr="004026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4026E2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  <w:p w:rsidR="00D079D9" w:rsidRPr="004026E2" w:rsidRDefault="00D079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4026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987"/>
      <w:bookmarkEnd w:id="6"/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4026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4026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439 471,78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942 942,78</w:t>
            </w:r>
          </w:p>
        </w:tc>
      </w:tr>
      <w:tr w:rsidR="008B26D9" w:rsidRPr="004026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439 471,78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7B237A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454 942,78</w:t>
            </w:r>
          </w:p>
        </w:tc>
      </w:tr>
      <w:tr w:rsidR="008B26D9" w:rsidRPr="004026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6432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488 000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подпрограммы II «</w:t>
      </w:r>
      <w:r w:rsidR="00240A03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очистка сточных вод до нормативных значений.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942 942,78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B23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439 471,78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ых объектов очистки сточных вод суммарной производительностью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454 942,78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439 471,78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7B237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000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7B237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4026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2018 - 2019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4026E2" w:rsidRDefault="00BF61E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913 083,78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4026E2" w:rsidRDefault="003726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4026E2" w:rsidRDefault="00BF61E1" w:rsidP="00BF61E1">
            <w:pPr>
              <w:shd w:val="clear" w:color="auto" w:fill="FFFFFF" w:themeFill="background1"/>
              <w:spacing w:after="0" w:line="240" w:lineRule="auto"/>
              <w:ind w:right="-80" w:hanging="44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BF61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409 612,78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4026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425 083,78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4026E2" w:rsidRDefault="003726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409 612,78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F61E1" w:rsidRPr="004026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488 000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488 000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F61E1" w:rsidRPr="004026E2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Перекладка напорной канализации 2Д400 по 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ул. Ткацкая фабрика,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г. Красногорска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BF61E1" w:rsidRPr="004026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5 541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4026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4026E2" w:rsidRDefault="00911E2E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911E2E" w:rsidRPr="004026E2" w:rsidTr="00476BAC">
        <w:trPr>
          <w:trHeight w:val="1366"/>
        </w:trPr>
        <w:tc>
          <w:tcPr>
            <w:tcW w:w="56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BF61E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76BAC" w:rsidRPr="004026E2" w:rsidTr="00476BAC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1.4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Канализование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п. Светлые горы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</w:t>
            </w:r>
          </w:p>
        </w:tc>
      </w:tr>
      <w:tr w:rsidR="00476BAC" w:rsidRPr="004026E2" w:rsidTr="00BA715E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476BAC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76BAC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6BAC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BAC" w:rsidRPr="004026E2" w:rsidRDefault="00476BAC" w:rsidP="00476BAC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BAC" w:rsidRPr="004026E2" w:rsidRDefault="00476BAC" w:rsidP="00476B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BF61E1" w:rsidRPr="004026E2" w:rsidTr="00BE498A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1.5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 трёх фекальных насосов на КНС-1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анных, отремонтированных коллекторов (участков), КНС </w:t>
            </w:r>
          </w:p>
        </w:tc>
      </w:tr>
      <w:tr w:rsidR="00BF61E1" w:rsidRPr="004026E2" w:rsidTr="00BA715E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Красногорск</w:t>
            </w:r>
          </w:p>
        </w:tc>
        <w:tc>
          <w:tcPr>
            <w:tcW w:w="1842" w:type="dxa"/>
            <w:shd w:val="clear" w:color="auto" w:fill="auto"/>
          </w:tcPr>
          <w:p w:rsidR="00BF61E1" w:rsidRPr="004026E2" w:rsidRDefault="00BF61E1" w:rsidP="00BF61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1" w:rsidRDefault="00BF61E1" w:rsidP="00BF61E1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11 000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F61E1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F61E1" w:rsidRPr="004026E2" w:rsidRDefault="00BF61E1" w:rsidP="00BF61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4026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4026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4026E2" w:rsidRDefault="00BF61E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1 283 061,29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541 077,46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632E" w:rsidRPr="004026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8643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2 952 71</w:t>
            </w:r>
            <w:r w:rsidR="0086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,39</w:t>
            </w:r>
          </w:p>
        </w:tc>
      </w:tr>
      <w:tr w:rsidR="007F7C04" w:rsidRPr="004026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4026E2" w:rsidRDefault="00640F9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285 077,29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114 700,46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911E2E" w:rsidRPr="004026E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1 149 382,35</w:t>
            </w:r>
          </w:p>
        </w:tc>
      </w:tr>
      <w:tr w:rsidR="007F7C04" w:rsidRPr="004026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6F56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640F9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937 984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81C3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BF61E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1 538 335,04</w:t>
            </w:r>
          </w:p>
        </w:tc>
      </w:tr>
      <w:tr w:rsidR="007F7C04" w:rsidRPr="004026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4026E2" w:rsidRDefault="0019354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r w:rsidR="00A26F56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numPr>
          <w:ilvl w:val="0"/>
          <w:numId w:val="9"/>
        </w:numPr>
        <w:shd w:val="clear" w:color="auto" w:fill="FFFFFF" w:themeFill="background1"/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4026E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FC175F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2 952 717,39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B88" w:rsidRPr="005D0B88" w:rsidRDefault="00BF61E1" w:rsidP="00BF61E1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1283061,29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C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1 077,46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D0B88" w:rsidRPr="004026E2" w:rsidTr="00476BAC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FC175F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1 149 382,35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BF61E1" w:rsidP="00BF61E1">
            <w:pPr>
              <w:shd w:val="clear" w:color="auto" w:fill="FFFFFF" w:themeFill="background1"/>
              <w:spacing w:after="0" w:line="240" w:lineRule="auto"/>
              <w:ind w:right="-74" w:hanging="142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285 077,29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114700,46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FC175F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1 538 335,04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BF61E1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937 984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2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неисполнения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либо отказа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указанных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снижению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предприятий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E6A0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FB61EC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851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hanging="14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0D7EAA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000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3A3EFE" w:rsidRPr="004026E2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ind w:hanging="14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100000</w:t>
            </w:r>
          </w:p>
        </w:tc>
        <w:tc>
          <w:tcPr>
            <w:tcW w:w="708" w:type="dxa"/>
            <w:vAlign w:val="center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теплоснабжения,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14 010</w:t>
            </w:r>
          </w:p>
        </w:tc>
        <w:tc>
          <w:tcPr>
            <w:tcW w:w="1276" w:type="dxa"/>
            <w:vAlign w:val="center"/>
          </w:tcPr>
          <w:p w:rsidR="00537860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9 505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14 010</w:t>
            </w:r>
          </w:p>
        </w:tc>
        <w:tc>
          <w:tcPr>
            <w:tcW w:w="1276" w:type="dxa"/>
            <w:vAlign w:val="center"/>
          </w:tcPr>
          <w:p w:rsidR="00537860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9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053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4026E2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  <w:r w:rsidR="0086432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053</w:t>
            </w:r>
            <w:r w:rsidR="0086432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,8</w:t>
            </w:r>
          </w:p>
        </w:tc>
        <w:tc>
          <w:tcPr>
            <w:tcW w:w="992" w:type="dxa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44511" w:rsidRPr="004026E2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25 933,27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992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44511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556,27</w:t>
            </w:r>
          </w:p>
        </w:tc>
        <w:tc>
          <w:tcPr>
            <w:tcW w:w="1276" w:type="dxa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992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4026E2" w:rsidRDefault="005048D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276" w:type="dxa"/>
            <w:vAlign w:val="center"/>
          </w:tcPr>
          <w:p w:rsidR="005048DB" w:rsidRPr="004026E2" w:rsidRDefault="005048DB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444 244,75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0015FC" w:rsidRPr="004026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4 803,75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992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439 441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B2BE2" w:rsidRPr="004026E2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BE2" w:rsidRPr="004026E2" w:rsidRDefault="00FB2B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4026E2" w:rsidRDefault="00566EC1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4026E2" w:rsidRDefault="00FB2BE2" w:rsidP="004026E2">
            <w:pPr>
              <w:shd w:val="clear" w:color="auto" w:fill="FFFFFF" w:themeFill="background1"/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B2BE2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FB2BE2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851" w:type="dxa"/>
            <w:vAlign w:val="center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1276" w:type="dxa"/>
            <w:vAlign w:val="center"/>
          </w:tcPr>
          <w:p w:rsidR="00AA1D1D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0015FC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98 806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C3241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99 000,35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B2BE2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r w:rsidR="008A024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192,35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97 808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80 141</w:t>
            </w:r>
            <w:r w:rsidR="0084451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Архангельское, территория музея -  усадьбы "Архангельское" и прилегающая территория.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C3241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237 577,33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222 391,56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коммунальной инфраструктуры</w:t>
            </w: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2 905,33</w:t>
            </w:r>
          </w:p>
        </w:tc>
        <w:tc>
          <w:tcPr>
            <w:tcW w:w="1276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2 753,56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234 672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4026E2" w:rsidRDefault="00FC175F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4026E2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пос.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4026E2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4026E2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4026E2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4026E2" w:rsidRDefault="00EE52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реконструкция, строительство, </w:t>
            </w:r>
          </w:p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8A0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105 814,42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8A024E" w:rsidRPr="004026E2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105 814,42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0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0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03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водопровода по адресу: Московская область,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A189C" w:rsidRPr="004026E2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4026E2" w:rsidRDefault="00FB61E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4026E2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4026E2" w:rsidRDefault="00FB61E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  <w:r w:rsidR="00C3241A" w:rsidRPr="004026E2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557 550,97</w:t>
            </w:r>
          </w:p>
        </w:tc>
        <w:tc>
          <w:tcPr>
            <w:tcW w:w="1276" w:type="dxa"/>
            <w:vAlign w:val="center"/>
          </w:tcPr>
          <w:p w:rsidR="00AA1D1D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499 751,93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551 004</w:t>
            </w:r>
          </w:p>
        </w:tc>
        <w:tc>
          <w:tcPr>
            <w:tcW w:w="1276" w:type="dxa"/>
            <w:vAlign w:val="center"/>
          </w:tcPr>
          <w:p w:rsidR="00AA1D1D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493 783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6 546,97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</w:tc>
        <w:tc>
          <w:tcPr>
            <w:tcW w:w="992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hAnsi="Times New Roman" w:cs="Times New Roman"/>
                <w:sz w:val="20"/>
                <w:szCs w:val="20"/>
              </w:rPr>
              <w:t>5 968,93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имущества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ЦТП-3-53-9; ЦТП-3а-53-9 с перераспределением 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A1D1D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</w:t>
            </w:r>
            <w:r w:rsidR="00AA1D1D"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A1D1D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4026E2" w:rsidRDefault="00DE4AA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</w:t>
            </w:r>
            <w:r w:rsidR="00AA1D1D"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E4AA3" w:rsidRPr="004026E2" w:rsidTr="002127A6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E4AA3" w:rsidRPr="00DE4AA3" w:rsidRDefault="00DE4AA3" w:rsidP="00DE4AA3">
            <w:pPr>
              <w:jc w:val="center"/>
              <w:rPr>
                <w:rFonts w:ascii="Times New Roman" w:hAnsi="Times New Roman" w:cs="Times New Roman"/>
              </w:rPr>
            </w:pPr>
            <w:r w:rsidRPr="00DE4AA3">
              <w:rPr>
                <w:rFonts w:ascii="Times New Roman" w:hAnsi="Times New Roman" w:cs="Times New Roman"/>
              </w:rPr>
              <w:t>8 011</w:t>
            </w:r>
          </w:p>
        </w:tc>
        <w:tc>
          <w:tcPr>
            <w:tcW w:w="1276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AA3" w:rsidRPr="004026E2" w:rsidRDefault="00DE4AA3" w:rsidP="00DE4AA3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E4AA3" w:rsidRPr="004026E2" w:rsidTr="002127A6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DE4AA3" w:rsidRPr="00DE4AA3" w:rsidRDefault="00DE4AA3" w:rsidP="00DE4AA3">
            <w:pPr>
              <w:jc w:val="center"/>
              <w:rPr>
                <w:rFonts w:ascii="Times New Roman" w:hAnsi="Times New Roman" w:cs="Times New Roman"/>
              </w:rPr>
            </w:pPr>
            <w:r w:rsidRPr="00DE4AA3">
              <w:rPr>
                <w:rFonts w:ascii="Times New Roman" w:hAnsi="Times New Roman" w:cs="Times New Roman"/>
              </w:rPr>
              <w:t>8 011</w:t>
            </w:r>
          </w:p>
        </w:tc>
        <w:tc>
          <w:tcPr>
            <w:tcW w:w="1276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AA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032F6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газопровода и газового оборудования д.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Путилково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D5197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2195" w:rsidRPr="004026E2" w:rsidRDefault="00E02195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  <w:r w:rsid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02195" w:rsidRPr="005D0B88" w:rsidRDefault="005D0B88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Капитальный ремонт водопроводных сетей (аварийные работы) участок (ВК-30-ВК-36) пос. Архангельский городской округ Красногорск</w:t>
            </w:r>
            <w:r w:rsidR="00E02195" w:rsidRPr="005D0B8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40 521,21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40 521,21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405,21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405,21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40 116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40 116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4026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4026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4026E2" w:rsidRDefault="00FB61EC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4026E2" w:rsidRDefault="003912E2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DE4A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DE4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402,19</w:t>
            </w:r>
          </w:p>
        </w:tc>
      </w:tr>
      <w:tr w:rsidR="00DE4AA3" w:rsidRPr="004026E2" w:rsidTr="00CB3B1F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AA3" w:rsidRPr="004026E2" w:rsidRDefault="00DE4AA3" w:rsidP="00DE4A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AA3" w:rsidRPr="004026E2" w:rsidRDefault="00DE4AA3" w:rsidP="00DE4A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402,19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социально-экономического развития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снижению эффективности оказания услуг.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посредством применения эффективных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="004323B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 w:rsidR="004323B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зданий, строений, сооружений органов местного самоуправления 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28 668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4026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4026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4026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2D76D6" w:rsidRPr="004026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67230" w:rsidRPr="004026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100844,19</w:t>
            </w:r>
          </w:p>
        </w:tc>
        <w:tc>
          <w:tcPr>
            <w:tcW w:w="851" w:type="dxa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25 876</w:t>
            </w:r>
          </w:p>
        </w:tc>
        <w:tc>
          <w:tcPr>
            <w:tcW w:w="851" w:type="dxa"/>
            <w:vAlign w:val="center"/>
          </w:tcPr>
          <w:p w:rsidR="00067230" w:rsidRPr="004026E2" w:rsidRDefault="00067230" w:rsidP="00067230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4026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4026E2" w:rsidRDefault="007C738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4026E2" w:rsidRDefault="00067230" w:rsidP="004026E2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100844,19</w:t>
            </w:r>
          </w:p>
        </w:tc>
        <w:tc>
          <w:tcPr>
            <w:tcW w:w="851" w:type="dxa"/>
            <w:vAlign w:val="center"/>
          </w:tcPr>
          <w:p w:rsidR="007C7387" w:rsidRPr="004026E2" w:rsidRDefault="00932BB5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4026E2" w:rsidRDefault="00DE4A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25 876</w:t>
            </w:r>
          </w:p>
        </w:tc>
        <w:tc>
          <w:tcPr>
            <w:tcW w:w="851" w:type="dxa"/>
            <w:vAlign w:val="center"/>
          </w:tcPr>
          <w:p w:rsidR="007C7387" w:rsidRPr="004026E2" w:rsidRDefault="008A189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7C7387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установка, замена (модернизация)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3B5" w:rsidRPr="004026E2" w:rsidRDefault="00DE4AA3" w:rsidP="004323B5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31 104</w:t>
            </w:r>
            <w:r w:rsidR="004323B5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,19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4323B5" w:rsidRPr="004026E2" w:rsidRDefault="00DE4AA3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8 296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4026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DE4AA3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DE4AA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104,19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4026E2" w:rsidRDefault="00DE4AA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8 296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замена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12 300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4026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4323B5" w:rsidRPr="004026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23B5" w:rsidRPr="004026E2" w:rsidRDefault="004323B5" w:rsidP="004323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4026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Красногорск, ул. Комсомольская, д. 2»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4026E2" w:rsidRDefault="00BA715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r w:rsidR="00A26F56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2460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151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 Красногорск, д/о "Серебрянка"»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2460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151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4026E2" w:rsidRDefault="004046B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4026E2" w:rsidTr="00472003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472003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472003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4026E2" w:rsidTr="00472003">
        <w:trPr>
          <w:jc w:val="center"/>
        </w:trPr>
        <w:tc>
          <w:tcPr>
            <w:tcW w:w="62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реконструкции</w:t>
            </w:r>
          </w:p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4026E2" w:rsidRDefault="0092632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4026E2" w:rsidRDefault="00C369E7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="00BD7D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9F" w:rsidRPr="004026E2" w:rsidTr="00472003">
        <w:trPr>
          <w:jc w:val="center"/>
        </w:trPr>
        <w:tc>
          <w:tcPr>
            <w:tcW w:w="62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92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9F" w:rsidRPr="004026E2" w:rsidTr="00012E9E">
        <w:trPr>
          <w:jc w:val="center"/>
        </w:trPr>
        <w:tc>
          <w:tcPr>
            <w:tcW w:w="2460" w:type="dxa"/>
            <w:gridSpan w:val="2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1510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92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55C55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1.5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Реконструкция двух водозаборных узлов д. Тимошкино и д.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Степановское</w:t>
      </w:r>
      <w:proofErr w:type="spellEnd"/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455C55" w:rsidRPr="004026E2" w:rsidTr="00472003">
        <w:trPr>
          <w:jc w:val="center"/>
        </w:trPr>
        <w:tc>
          <w:tcPr>
            <w:tcW w:w="62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55C55" w:rsidRPr="004026E2" w:rsidTr="00472003">
        <w:trPr>
          <w:jc w:val="center"/>
        </w:trPr>
        <w:tc>
          <w:tcPr>
            <w:tcW w:w="62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4026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47200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472003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472003">
        <w:trPr>
          <w:jc w:val="center"/>
        </w:trPr>
        <w:tc>
          <w:tcPr>
            <w:tcW w:w="2460" w:type="dxa"/>
            <w:gridSpan w:val="2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53" w:rsidRPr="004026E2" w:rsidRDefault="007E7B5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EC" w:rsidRPr="004026E2" w:rsidRDefault="00FB61EC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предусмотрено мероприятием 1.6.  «Проектирование и реконструкция водопроводных сетей в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Опалиха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261D0E" w:rsidRPr="004026E2" w:rsidTr="00472003">
        <w:trPr>
          <w:jc w:val="center"/>
        </w:trPr>
        <w:tc>
          <w:tcPr>
            <w:tcW w:w="62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="007E7B53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261D0E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jc w:val="center"/>
        </w:trPr>
        <w:tc>
          <w:tcPr>
            <w:tcW w:w="2460" w:type="dxa"/>
            <w:gridSpan w:val="2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</w:t>
      </w:r>
    </w:p>
    <w:p w:rsidR="00A26F5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правом берегу с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через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4026E2" w:rsidTr="00363DB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7D9F" w:rsidRPr="004026E2" w:rsidTr="00A26F56">
        <w:trPr>
          <w:jc w:val="center"/>
        </w:trPr>
        <w:tc>
          <w:tcPr>
            <w:tcW w:w="62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60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913 083,78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BD7D9F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409612,78</w:t>
            </w:r>
          </w:p>
        </w:tc>
        <w:tc>
          <w:tcPr>
            <w:tcW w:w="661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425083,78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A6298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409612,78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230" w:rsidRPr="004026E2" w:rsidTr="00A26F56">
        <w:trPr>
          <w:jc w:val="center"/>
        </w:trPr>
        <w:tc>
          <w:tcPr>
            <w:tcW w:w="3397" w:type="dxa"/>
            <w:gridSpan w:val="2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913 083,78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409612,78</w:t>
            </w:r>
          </w:p>
        </w:tc>
        <w:tc>
          <w:tcPr>
            <w:tcW w:w="661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с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4026E2" w:rsidRDefault="00A26F5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Архангельское, г. о. Красногорск (в том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метров, место,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7E7B5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4026E2" w:rsidTr="00A26F56">
        <w:trPr>
          <w:jc w:val="center"/>
        </w:trPr>
        <w:tc>
          <w:tcPr>
            <w:tcW w:w="62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4026E2" w:rsidRDefault="00261D0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4026E2" w:rsidTr="00A26F56">
        <w:trPr>
          <w:jc w:val="center"/>
        </w:trPr>
        <w:tc>
          <w:tcPr>
            <w:tcW w:w="62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4026E2" w:rsidRDefault="00261D0E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85" w:rsidRPr="004026E2" w:rsidTr="007E7B53">
        <w:trPr>
          <w:jc w:val="center"/>
        </w:trPr>
        <w:tc>
          <w:tcPr>
            <w:tcW w:w="2460" w:type="dxa"/>
            <w:gridSpan w:val="2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метров, место,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7E7B5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A26F56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4 803,75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A26F56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439 441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EC1" w:rsidRPr="004026E2" w:rsidTr="007E7B53">
        <w:trPr>
          <w:jc w:val="center"/>
        </w:trPr>
        <w:tc>
          <w:tcPr>
            <w:tcW w:w="2460" w:type="dxa"/>
            <w:gridSpan w:val="2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метров, место,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B0091" w:rsidRPr="004026E2" w:rsidTr="000015FC">
        <w:trPr>
          <w:jc w:val="center"/>
        </w:trPr>
        <w:tc>
          <w:tcPr>
            <w:tcW w:w="62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 ПИР)</w:t>
            </w:r>
          </w:p>
        </w:tc>
        <w:tc>
          <w:tcPr>
            <w:tcW w:w="1510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0091" w:rsidRPr="004026E2" w:rsidRDefault="00566EC1" w:rsidP="004026E2">
            <w:pPr>
              <w:shd w:val="clear" w:color="auto" w:fill="FFFFFF" w:themeFill="background1"/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5B009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4026E2" w:rsidTr="00A26F56">
        <w:trPr>
          <w:jc w:val="center"/>
        </w:trPr>
        <w:tc>
          <w:tcPr>
            <w:tcW w:w="62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4026E2" w:rsidTr="00A26F56">
        <w:trPr>
          <w:jc w:val="center"/>
        </w:trPr>
        <w:tc>
          <w:tcPr>
            <w:tcW w:w="62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98 806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FE058C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C14" w:rsidRPr="004026E2" w:rsidTr="00566EC1">
        <w:trPr>
          <w:jc w:val="center"/>
        </w:trPr>
        <w:tc>
          <w:tcPr>
            <w:tcW w:w="2460" w:type="dxa"/>
            <w:gridSpan w:val="2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shd w:val="clear" w:color="auto" w:fill="FFFFFF" w:themeFill="background1"/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208 089,44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</w:t>
      </w:r>
      <w:proofErr w:type="spellStart"/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инвестирования, наименование объекта, адрес объекта, сведения о государственной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4026E2" w:rsidTr="00A26F56">
        <w:trPr>
          <w:jc w:val="center"/>
        </w:trPr>
        <w:tc>
          <w:tcPr>
            <w:tcW w:w="62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1 192,35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97 808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80 141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230" w:rsidRPr="004026E2" w:rsidTr="00A26F56">
        <w:trPr>
          <w:jc w:val="center"/>
        </w:trPr>
        <w:tc>
          <w:tcPr>
            <w:tcW w:w="2460" w:type="dxa"/>
            <w:gridSpan w:val="2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99 000,35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81 154,56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канализационных сетей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4026E2" w:rsidRDefault="00A26F5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том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инвестирования, наименование объекта, адрес объекта, сведения о государственной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4026E2" w:rsidTr="00A26F56">
        <w:trPr>
          <w:jc w:val="center"/>
        </w:trPr>
        <w:tc>
          <w:tcPr>
            <w:tcW w:w="62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2 905,33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A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234 672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219 638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230" w:rsidRPr="004026E2" w:rsidTr="00A26F56">
        <w:trPr>
          <w:jc w:val="center"/>
        </w:trPr>
        <w:tc>
          <w:tcPr>
            <w:tcW w:w="2460" w:type="dxa"/>
            <w:gridSpan w:val="2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237 577,33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222 391,56</w:t>
            </w:r>
          </w:p>
        </w:tc>
        <w:tc>
          <w:tcPr>
            <w:tcW w:w="992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067230" w:rsidRPr="004026E2" w:rsidRDefault="00067230" w:rsidP="000672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5DB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инвестирования, наименование объекта, адрес объекта, сведения о государственной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4026E2" w:rsidTr="00A26F56">
        <w:trPr>
          <w:jc w:val="center"/>
        </w:trPr>
        <w:tc>
          <w:tcPr>
            <w:tcW w:w="62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4026E2" w:rsidRDefault="00FB3E3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4026E2" w:rsidRDefault="00FB3E3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4026E2" w:rsidTr="00A26F56">
        <w:trPr>
          <w:jc w:val="center"/>
        </w:trPr>
        <w:tc>
          <w:tcPr>
            <w:tcW w:w="2460" w:type="dxa"/>
            <w:gridSpan w:val="2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4026E2" w:rsidRDefault="00FB3E3C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4026E2" w:rsidRDefault="00FB3E3C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4026E2" w:rsidRDefault="0013315E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4026E2" w:rsidTr="00A26F56">
        <w:trPr>
          <w:jc w:val="center"/>
        </w:trPr>
        <w:tc>
          <w:tcPr>
            <w:tcW w:w="62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инвестирования, наименование объекта, адрес объекта, сведения о государственной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Мощность/ прирост мощности объекта (кв. метр, погонных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2460" w:type="dxa"/>
            <w:gridSpan w:val="2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4026E2" w:rsidTr="00A26F56">
        <w:trPr>
          <w:jc w:val="center"/>
        </w:trPr>
        <w:tc>
          <w:tcPr>
            <w:tcW w:w="62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инвестирования, наименование объекта, адрес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Годы строительства/ реконструкции муниципальной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275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Мощность/ прирост мощности объекта (кв.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сметной стоимости до ввода в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эксплуатацию, тыс. руб.</w:t>
            </w: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4026E2" w:rsidRDefault="005B009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7851F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2460" w:type="dxa"/>
            <w:gridSpan w:val="2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4026E2" w:rsidRDefault="005B009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845"/>
        <w:gridCol w:w="992"/>
        <w:gridCol w:w="992"/>
        <w:gridCol w:w="993"/>
        <w:gridCol w:w="1275"/>
        <w:gridCol w:w="1423"/>
      </w:tblGrid>
      <w:tr w:rsidR="00AA70F3" w:rsidRPr="004026E2" w:rsidTr="00A26F56">
        <w:trPr>
          <w:jc w:val="center"/>
        </w:trPr>
        <w:tc>
          <w:tcPr>
            <w:tcW w:w="62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инвестирования, наименование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Годы строительства/ реконструкции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Мощность/ прирост мощности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Предельная стоимость объекта,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Профинансировано на 01.01.____*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(тыс. руб.)</w:t>
            </w:r>
          </w:p>
        </w:tc>
        <w:tc>
          <w:tcPr>
            <w:tcW w:w="1271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сметной стоимости до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ввода в эксплуатацию, тыс. руб.</w:t>
            </w: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557 550,97</w:t>
            </w:r>
          </w:p>
        </w:tc>
        <w:tc>
          <w:tcPr>
            <w:tcW w:w="845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AA70F3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499 751,93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4026E2" w:rsidRDefault="009F6A9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6 546,97</w:t>
            </w:r>
          </w:p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70F3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5 968,93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067230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4026E2" w:rsidRDefault="0006723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551 004</w:t>
            </w:r>
          </w:p>
        </w:tc>
        <w:tc>
          <w:tcPr>
            <w:tcW w:w="845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57 221</w:t>
            </w:r>
          </w:p>
        </w:tc>
        <w:tc>
          <w:tcPr>
            <w:tcW w:w="992" w:type="dxa"/>
            <w:vAlign w:val="center"/>
          </w:tcPr>
          <w:p w:rsidR="00AA70F3" w:rsidRPr="004026E2" w:rsidRDefault="0006723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493 783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FA4" w:rsidRPr="004026E2" w:rsidTr="00067230">
        <w:trPr>
          <w:jc w:val="center"/>
        </w:trPr>
        <w:tc>
          <w:tcPr>
            <w:tcW w:w="2460" w:type="dxa"/>
            <w:gridSpan w:val="2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C03FA4" w:rsidRPr="004026E2" w:rsidRDefault="00C03FA4" w:rsidP="00C03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557 550,97</w:t>
            </w:r>
          </w:p>
        </w:tc>
        <w:tc>
          <w:tcPr>
            <w:tcW w:w="845" w:type="dxa"/>
            <w:vAlign w:val="center"/>
          </w:tcPr>
          <w:p w:rsidR="00C03FA4" w:rsidRPr="004026E2" w:rsidRDefault="00C03FA4" w:rsidP="00C03F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499 751,93</w:t>
            </w:r>
          </w:p>
        </w:tc>
        <w:tc>
          <w:tcPr>
            <w:tcW w:w="992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03FA4" w:rsidRPr="004026E2" w:rsidRDefault="00C03FA4" w:rsidP="00C03F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62983" w:rsidRPr="004026E2" w:rsidRDefault="00A6298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1.27 «Проектирование и перекладка водопроводной сети г. Красногорск, ул. Комсомольская, ул. Циолковского»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4026E2" w:rsidTr="00A26F56">
        <w:trPr>
          <w:jc w:val="center"/>
        </w:trPr>
        <w:tc>
          <w:tcPr>
            <w:tcW w:w="62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36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Годы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Мощность/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Предельная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Профинанс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ировано на 01.01.____* (тыс. руб.)</w:t>
            </w:r>
          </w:p>
        </w:tc>
        <w:tc>
          <w:tcPr>
            <w:tcW w:w="1271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5953" w:type="dxa"/>
            <w:gridSpan w:val="6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сметной стоимости до ввода в эксплуатацию, тыс. руб.</w:t>
            </w: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4026E2" w:rsidRDefault="00C03FA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4026E2" w:rsidRDefault="00C03FA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D35DBB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12E9E"/>
    <w:rsid w:val="00015EAA"/>
    <w:rsid w:val="00032F63"/>
    <w:rsid w:val="0005698C"/>
    <w:rsid w:val="00067230"/>
    <w:rsid w:val="000A7466"/>
    <w:rsid w:val="000B39E1"/>
    <w:rsid w:val="000B4670"/>
    <w:rsid w:val="000D122E"/>
    <w:rsid w:val="000D5C0D"/>
    <w:rsid w:val="000D7EAA"/>
    <w:rsid w:val="000E3C0E"/>
    <w:rsid w:val="000F726C"/>
    <w:rsid w:val="001066FB"/>
    <w:rsid w:val="0013315E"/>
    <w:rsid w:val="0018424E"/>
    <w:rsid w:val="00193547"/>
    <w:rsid w:val="001B224F"/>
    <w:rsid w:val="001D3EF2"/>
    <w:rsid w:val="001F7DB7"/>
    <w:rsid w:val="00240A03"/>
    <w:rsid w:val="002458AB"/>
    <w:rsid w:val="00261D0E"/>
    <w:rsid w:val="00263ADF"/>
    <w:rsid w:val="002B3404"/>
    <w:rsid w:val="002D76D6"/>
    <w:rsid w:val="002E52F3"/>
    <w:rsid w:val="003342BA"/>
    <w:rsid w:val="00363DB6"/>
    <w:rsid w:val="003726F3"/>
    <w:rsid w:val="003912E2"/>
    <w:rsid w:val="003A3EFE"/>
    <w:rsid w:val="003C396A"/>
    <w:rsid w:val="003D6C8B"/>
    <w:rsid w:val="004026E2"/>
    <w:rsid w:val="004046B5"/>
    <w:rsid w:val="004323B5"/>
    <w:rsid w:val="00455C55"/>
    <w:rsid w:val="00464891"/>
    <w:rsid w:val="00467904"/>
    <w:rsid w:val="00472003"/>
    <w:rsid w:val="00472340"/>
    <w:rsid w:val="00476BAC"/>
    <w:rsid w:val="00481C37"/>
    <w:rsid w:val="00495CE7"/>
    <w:rsid w:val="004A54EA"/>
    <w:rsid w:val="004B2477"/>
    <w:rsid w:val="004D1465"/>
    <w:rsid w:val="004D5FF7"/>
    <w:rsid w:val="004E5F5A"/>
    <w:rsid w:val="00503D13"/>
    <w:rsid w:val="005048DB"/>
    <w:rsid w:val="00507AFB"/>
    <w:rsid w:val="0051635D"/>
    <w:rsid w:val="0051652B"/>
    <w:rsid w:val="00537860"/>
    <w:rsid w:val="005614CE"/>
    <w:rsid w:val="00566EC1"/>
    <w:rsid w:val="0059489C"/>
    <w:rsid w:val="005B0091"/>
    <w:rsid w:val="005C6ACD"/>
    <w:rsid w:val="005D0B88"/>
    <w:rsid w:val="005D32A3"/>
    <w:rsid w:val="005D352F"/>
    <w:rsid w:val="005F6529"/>
    <w:rsid w:val="006004F8"/>
    <w:rsid w:val="00615724"/>
    <w:rsid w:val="00616F0A"/>
    <w:rsid w:val="006238A7"/>
    <w:rsid w:val="00625E76"/>
    <w:rsid w:val="00631B5A"/>
    <w:rsid w:val="00636A0A"/>
    <w:rsid w:val="00640F97"/>
    <w:rsid w:val="00691D56"/>
    <w:rsid w:val="006A5C28"/>
    <w:rsid w:val="006B321E"/>
    <w:rsid w:val="006E5CD6"/>
    <w:rsid w:val="006F23F4"/>
    <w:rsid w:val="006F5D91"/>
    <w:rsid w:val="00730F92"/>
    <w:rsid w:val="007506D2"/>
    <w:rsid w:val="007851FB"/>
    <w:rsid w:val="007A05A3"/>
    <w:rsid w:val="007A12FA"/>
    <w:rsid w:val="007B237A"/>
    <w:rsid w:val="007B7043"/>
    <w:rsid w:val="007C5F85"/>
    <w:rsid w:val="007C7387"/>
    <w:rsid w:val="007D54B2"/>
    <w:rsid w:val="007E2F72"/>
    <w:rsid w:val="007E4AF1"/>
    <w:rsid w:val="007E7B53"/>
    <w:rsid w:val="007F45F3"/>
    <w:rsid w:val="007F7C04"/>
    <w:rsid w:val="008030CE"/>
    <w:rsid w:val="00824871"/>
    <w:rsid w:val="00844511"/>
    <w:rsid w:val="008459D5"/>
    <w:rsid w:val="0086432C"/>
    <w:rsid w:val="008645B2"/>
    <w:rsid w:val="0088225E"/>
    <w:rsid w:val="00894EC8"/>
    <w:rsid w:val="008A024E"/>
    <w:rsid w:val="008A189C"/>
    <w:rsid w:val="008B26D9"/>
    <w:rsid w:val="008B763B"/>
    <w:rsid w:val="008F2992"/>
    <w:rsid w:val="008F5DF8"/>
    <w:rsid w:val="00911E2E"/>
    <w:rsid w:val="00914FB4"/>
    <w:rsid w:val="0092632E"/>
    <w:rsid w:val="00932BB5"/>
    <w:rsid w:val="00986D76"/>
    <w:rsid w:val="00993A1E"/>
    <w:rsid w:val="009F6A9F"/>
    <w:rsid w:val="00A00BB2"/>
    <w:rsid w:val="00A24289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AD5197"/>
    <w:rsid w:val="00AF6B5B"/>
    <w:rsid w:val="00B15513"/>
    <w:rsid w:val="00B615E7"/>
    <w:rsid w:val="00B95B1A"/>
    <w:rsid w:val="00BA715E"/>
    <w:rsid w:val="00BD7D9F"/>
    <w:rsid w:val="00BE6A5F"/>
    <w:rsid w:val="00BF61E1"/>
    <w:rsid w:val="00C03FA4"/>
    <w:rsid w:val="00C3241A"/>
    <w:rsid w:val="00C369E7"/>
    <w:rsid w:val="00C441ED"/>
    <w:rsid w:val="00CB5395"/>
    <w:rsid w:val="00D02FCE"/>
    <w:rsid w:val="00D079D9"/>
    <w:rsid w:val="00D35DBB"/>
    <w:rsid w:val="00D73768"/>
    <w:rsid w:val="00DB6483"/>
    <w:rsid w:val="00DE28C8"/>
    <w:rsid w:val="00DE4AA3"/>
    <w:rsid w:val="00DE6A09"/>
    <w:rsid w:val="00DF6A80"/>
    <w:rsid w:val="00E00C14"/>
    <w:rsid w:val="00E02195"/>
    <w:rsid w:val="00E0759B"/>
    <w:rsid w:val="00E24BAB"/>
    <w:rsid w:val="00E30359"/>
    <w:rsid w:val="00E600EB"/>
    <w:rsid w:val="00E66467"/>
    <w:rsid w:val="00E72238"/>
    <w:rsid w:val="00E833F6"/>
    <w:rsid w:val="00E94964"/>
    <w:rsid w:val="00EC5B69"/>
    <w:rsid w:val="00EE52F3"/>
    <w:rsid w:val="00EE5510"/>
    <w:rsid w:val="00F0294E"/>
    <w:rsid w:val="00F13478"/>
    <w:rsid w:val="00F13B7E"/>
    <w:rsid w:val="00F4570E"/>
    <w:rsid w:val="00F67C93"/>
    <w:rsid w:val="00F77944"/>
    <w:rsid w:val="00F90914"/>
    <w:rsid w:val="00FA2DBB"/>
    <w:rsid w:val="00FB2BE2"/>
    <w:rsid w:val="00FB3E3C"/>
    <w:rsid w:val="00FB61EC"/>
    <w:rsid w:val="00FC175F"/>
    <w:rsid w:val="00FE058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13746</Words>
  <Characters>78357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33</cp:revision>
  <cp:lastPrinted>2019-06-10T09:12:00Z</cp:lastPrinted>
  <dcterms:created xsi:type="dcterms:W3CDTF">2019-02-14T06:48:00Z</dcterms:created>
  <dcterms:modified xsi:type="dcterms:W3CDTF">2019-07-08T07:55:00Z</dcterms:modified>
</cp:coreProperties>
</file>