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4026E2" w:rsidRDefault="00537860" w:rsidP="00AE2F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E2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E2F5A" w:rsidRPr="00AE2F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AE2F5A" w:rsidRPr="00AE2F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  <w:r w:rsidR="00AE2F5A" w:rsidRPr="00AE2F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AE2F5A" w:rsidRPr="00AE2F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</w:t>
      </w:r>
      <w:r w:rsidR="00AE2F5A" w:rsidRPr="00AE2F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="00AE2F5A" w:rsidRPr="00AE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F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2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E2F5A" w:rsidRPr="00AE2F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964/5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и развитие инженер</w:t>
      </w:r>
      <w:bookmarkStart w:id="0" w:name="_GoBack"/>
      <w:bookmarkEnd w:id="0"/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ной инфраструктуры и </w:t>
      </w:r>
      <w:proofErr w:type="spellStart"/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4026E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6E2">
        <w:rPr>
          <w:rFonts w:ascii="Times New Roman" w:eastAsia="Calibri" w:hAnsi="Times New Roman" w:cs="Times New Roman"/>
          <w:b/>
          <w:sz w:val="28"/>
          <w:szCs w:val="28"/>
        </w:rPr>
        <w:t>на 2018-2022 годы (актуальная версия)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2017г.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МУНИЦИПАЛЬНОЙ 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4026E2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4026E2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4026E2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4026E2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4026E2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4026E2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C5F8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698 295,42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694 </w:t>
            </w:r>
            <w:r w:rsidR="007B7043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="00E0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530,27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150 066,46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1F7DB7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4026E2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C5F8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389 093,04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648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876 216,04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C5F8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146 500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4648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4026E2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4026E2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0B39E1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531 528,46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1 834 6</w:t>
            </w:r>
            <w:r w:rsidR="008B26D9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FB61EC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E0219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1 914 030,27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576 443,46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7B704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1F7DB7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shd w:val="clear" w:color="auto" w:fill="FFFFFF" w:themeFill="background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«Красногорская теплосеть», ОАО «Водоканал», ООО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Производственная деятельность 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социально-экономического развития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«Красногорская теплосеть», ОАО «Водоканал», ООО «Котельная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энергетических ресурсов посредством применения эффективных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Жилищный фонд.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оборудования по балансировке и регулировке температурного режима.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Start"/>
      <w:r w:rsidRPr="0040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40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="00240A03"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3. Строительство, реконструкция, капитальный ремонт, приобретение, монтаж и ввод в эксплуатацию объектов коммунальной инфраструктуры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З. Представление муниципальным заказчиком отчета по итогам за полугодие.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389"/>
      <w:bookmarkEnd w:id="2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4026E2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4026E2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</w:t>
            </w:r>
            <w:r w:rsidR="00616F0A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овленных ВЗУ, ВНС и станций водоподготовки</w:t>
            </w:r>
          </w:p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4026E2" w:rsidRDefault="00184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026E2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Чистая вода -</w:t>
            </w:r>
          </w:p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="00240A03"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водоотведения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026E2" w:rsidRPr="004026E2" w:rsidTr="00012E9E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E2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2" w:rsidRPr="004026E2" w:rsidRDefault="004026E2" w:rsidP="004026E2">
            <w:pPr>
              <w:shd w:val="clear" w:color="auto" w:fill="FFFFFF" w:themeFill="background1"/>
            </w:pPr>
            <w:r w:rsidRPr="004026E2"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E2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012E9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993A1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2487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4026E2" w:rsidTr="00507AFB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задолженности за потреблённые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AFB" w:rsidRPr="004026E2" w:rsidTr="006E5CD6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дебиторской задолженности населения перед организациями ТЭК (ЖКХ без долгов)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507AFB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 xml:space="preserve">Качество и доступность услуг ЖКХ (в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Целевой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  <w:p w:rsidR="00616F0A" w:rsidRPr="004026E2" w:rsidRDefault="00616F0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8459D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05A3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7A05A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7A05A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7234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2FA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7A12F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7A12FA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7234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7234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507A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7234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4026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CD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 -</w:t>
            </w:r>
          </w:p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4026E2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4026E2" w:rsidRDefault="00012E9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02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зданий, строений,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сооружений органов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Целевой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4026E2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Бережливый учет – </w:t>
            </w:r>
            <w:r w:rsidR="005C6ACD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многоквартирных домов</w:t>
            </w:r>
            <w:r w:rsidR="005C6ACD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оснащённых общедомовыми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приборами учёта </w:t>
            </w:r>
            <w:r w:rsidR="005C6ACD"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4026E2" w:rsidRDefault="00691D56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4026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4026E2" w:rsidRDefault="00691D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7860" w:rsidRPr="004026E2" w:rsidRDefault="0018424E" w:rsidP="004026E2">
      <w:pPr>
        <w:shd w:val="clear" w:color="auto" w:fill="FFFFFF" w:themeFill="background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3" w:name="Par335"/>
      <w:bookmarkEnd w:id="3"/>
      <w:r w:rsidRPr="00402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402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Методика расчета значений показателей эффективности реализации программы.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4026E2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4026E2" w:rsidRDefault="00537860" w:rsidP="004026E2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1830" w:right="177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r w:rsidR="0018424E"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и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ind w:right="4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4026E2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4026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r w:rsidR="00184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людей,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</w:t>
            </w:r>
            <w:r w:rsidR="00184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населения,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4026E2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4026E2" w:rsidRDefault="00537860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4026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r w:rsidR="00616F0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водоподготовки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4026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4026E2" w:rsidRDefault="00472340" w:rsidP="004026E2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-</w:t>
            </w:r>
          </w:p>
          <w:p w:rsidR="008459D5" w:rsidRPr="004026E2" w:rsidRDefault="0047234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4026E2" w:rsidRDefault="008459D5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4026E2" w:rsidRDefault="008459D5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4026E2" w:rsidRDefault="008459D5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4026E2" w:rsidRDefault="008459D5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8459D5" w:rsidRPr="004026E2" w:rsidRDefault="008459D5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8459D5" w:rsidRPr="004026E2" w:rsidRDefault="008459D5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</w:p>
        </w:tc>
      </w:tr>
      <w:tr w:rsidR="00537860" w:rsidRPr="004026E2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</w:t>
            </w:r>
            <w:r w:rsidR="00240A03"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Системы водоотведения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»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4026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4026E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4026E2" w:rsidRDefault="00537860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4026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4026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4E5F5A" w:rsidRPr="004026E2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507AFB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</w:rPr>
              <w:t>Снижение задолженности за потреблённые топливно-энергетические ресурсы</w:t>
            </w: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 (ЖКХ без долгов)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отношение </w:t>
            </w:r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просроченной задолженности </w:t>
            </w:r>
            <w:proofErr w:type="spellStart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и управляющих организаций (в части оплаты задолженности за электроэнергию) перед поставщиками (за поставку и транспортировку газа, электроэнергии, теплоносителя), осуществляющих деятельность на территории муниципалитета на отчётную дату в руб. к плановому суммарному начислению </w:t>
            </w:r>
            <w:proofErr w:type="spellStart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ресурсоснабжающим</w:t>
            </w:r>
            <w:proofErr w:type="spellEnd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организациям за поставку и транспортировку газа, электроэнергии, теплоносителя в муниципалитете на 2019 год в </w:t>
            </w:r>
            <w:proofErr w:type="spellStart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руб</w:t>
            </w:r>
            <w:proofErr w:type="spellEnd"/>
            <w:r w:rsidR="00507AFB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, умноженное на 365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</w:rPr>
              <w:t>ЖКХ меняется. Меняем ЖКХ -</w:t>
            </w: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4026E2">
              <w:rPr>
                <w:rFonts w:ascii="Times New Roman" w:hAnsi="Times New Roman" w:cs="Times New Roman"/>
                <w:sz w:val="20"/>
              </w:rPr>
              <w:t xml:space="preserve">Качество и доступность услуг ЖКХ (в </w:t>
            </w:r>
            <w:proofErr w:type="spellStart"/>
            <w:r w:rsidRPr="004026E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4026E2">
              <w:rPr>
                <w:rFonts w:ascii="Times New Roman" w:hAnsi="Times New Roman" w:cs="Times New Roman"/>
                <w:sz w:val="20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отчётность РСО.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4026E2">
              <w:rPr>
                <w:rFonts w:ascii="Times New Roman" w:hAnsi="Times New Roman" w:cs="Times New Roman"/>
                <w:sz w:val="20"/>
                <w:lang w:val="ru-RU"/>
              </w:rPr>
              <w:t>на коммунальных объектах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 =          </w:t>
            </w:r>
            <w:r w:rsidRPr="004026E2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7DD7054A" wp14:editId="3CF2D5BA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где</w:t>
            </w: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 – оценка показателя муниципального образования;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КТНimax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Тimax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Жimax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УК, ЕДДС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Доля РСО, утвердивших инвестиционные программы в сфере теплоснабжения, 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= 10×(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организаций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по формулам: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4.1. ОЗП2-3 = 10×(ФВ/ПП)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Определяется: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1) Для городского округа.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2,5 балла при получении городским округом от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0 баллов при получении городским округом от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неготовности к отопительному периоду, либо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6E5CD6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4026E2" w:rsidRDefault="006E5CD6" w:rsidP="004026E2">
            <w:pPr>
              <w:pStyle w:val="af1"/>
              <w:numPr>
                <w:ilvl w:val="0"/>
                <w:numId w:val="12"/>
              </w:numPr>
              <w:shd w:val="clear" w:color="auto" w:fill="FFFFFF" w:themeFill="background1"/>
              <w:ind w:left="720"/>
              <w:rPr>
                <w:rFonts w:ascii="Times New Roman" w:hAnsi="Times New Roman" w:cs="Times New Roman"/>
                <w:sz w:val="20"/>
              </w:rPr>
            </w:pPr>
            <w:r w:rsidRPr="004026E2">
              <w:rPr>
                <w:rFonts w:ascii="Times New Roman" w:hAnsi="Times New Roman" w:cs="Times New Roman"/>
                <w:sz w:val="20"/>
              </w:rPr>
              <w:lastRenderedPageBreak/>
              <w:t>ЖКХ без долгов</w:t>
            </w:r>
            <w:r w:rsidRPr="004026E2">
              <w:rPr>
                <w:rFonts w:ascii="Times New Roman" w:hAnsi="Times New Roman" w:cs="Times New Roman"/>
                <w:sz w:val="20"/>
                <w:lang w:val="ru-RU"/>
              </w:rPr>
              <w:t xml:space="preserve"> -</w:t>
            </w:r>
          </w:p>
          <w:p w:rsidR="006E5CD6" w:rsidRPr="004026E2" w:rsidRDefault="006E5CD6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просроченную задолженность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6E5CD6" w:rsidRPr="004026E2" w:rsidRDefault="006E5CD6" w:rsidP="004026E2">
            <w:pPr>
              <w:shd w:val="clear" w:color="auto" w:fill="FFFFFF" w:themeFill="background1"/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D6" w:rsidRPr="004026E2" w:rsidRDefault="006E5CD6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402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«Энергосбережение и повышение энергетической эффективности»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5C6ACD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= (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) /4 x 100%,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где: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Кмкд.тэ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4E5F5A" w:rsidRPr="004026E2" w:rsidRDefault="004E5F5A" w:rsidP="004026E2">
            <w:pPr>
              <w:shd w:val="clear" w:color="auto" w:fill="FFFFFF" w:themeFill="background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4E5F5A" w:rsidRPr="004026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4026E2" w:rsidRDefault="004E5F5A" w:rsidP="004026E2">
            <w:pPr>
              <w:shd w:val="clear" w:color="auto" w:fill="FFFFFF" w:themeFill="background1"/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4026E2" w:rsidRDefault="004E5F5A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4E5F5A" w:rsidRPr="004026E2" w:rsidRDefault="004E5F5A" w:rsidP="004026E2">
            <w:pPr>
              <w:shd w:val="clear" w:color="auto" w:fill="FFFFFF" w:themeFill="background1"/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B615E7" w:rsidRPr="004026E2" w:rsidRDefault="00B615E7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18424E" w:rsidRPr="004026E2" w:rsidRDefault="0018424E" w:rsidP="004026E2">
      <w:pPr>
        <w:shd w:val="clear" w:color="auto" w:fill="FFFFFF" w:themeFill="background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ЧИСТАЯ ВОДА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4026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4026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399 033,90</w:t>
            </w:r>
          </w:p>
        </w:tc>
      </w:tr>
      <w:tr w:rsidR="00263ADF" w:rsidRPr="004026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65 651,90</w:t>
            </w:r>
          </w:p>
        </w:tc>
      </w:tr>
      <w:tr w:rsidR="00263ADF" w:rsidRPr="004026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</w:tr>
      <w:tr w:rsidR="00263ADF" w:rsidRPr="004026E2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</w:tr>
      <w:bookmarkEnd w:id="4"/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8424E" w:rsidRPr="004026E2" w:rsidRDefault="0018424E" w:rsidP="004026E2">
      <w:pPr>
        <w:shd w:val="clear" w:color="auto" w:fill="FFFFFF" w:themeFill="background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4026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026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bookmarkStart w:id="5" w:name="_Hlk498508694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399 033,90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E4AF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56 972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65 651,90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7E4AF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56 972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5"/>
      <w:tr w:rsidR="00537860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4026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4026E2" w:rsidRDefault="00263AD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158 877,70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263ADF" w:rsidRPr="004026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4 635,70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281,00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4026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242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242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4026E2" w:rsidRDefault="00263AD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72238" w:rsidRPr="004026E2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701" w:type="dxa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E72238" w:rsidRPr="004026E2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2238" w:rsidRPr="004026E2" w:rsidRDefault="00E7223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E7B53" w:rsidRPr="004026E2" w:rsidTr="001F7DB7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E7B53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7E7B53" w:rsidRPr="004026E2" w:rsidTr="00E72238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4026E2" w:rsidTr="001F7DB7">
        <w:trPr>
          <w:trHeight w:val="804"/>
        </w:trPr>
        <w:tc>
          <w:tcPr>
            <w:tcW w:w="567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</w:p>
          <w:p w:rsidR="00D079D9" w:rsidRPr="004026E2" w:rsidRDefault="00D079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4026E2" w:rsidTr="00E72238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4026E2" w:rsidRDefault="007E4AF1" w:rsidP="004026E2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7E4AF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29 510,00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4026E2" w:rsidRDefault="001F7DB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987"/>
      <w:bookmarkEnd w:id="6"/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</w:t>
      </w:r>
      <w:r w:rsidR="00240A0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4026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4026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503 471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4026E2" w:rsidRDefault="004D146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624 476,78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625E7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465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127 947,78</w:t>
            </w:r>
          </w:p>
        </w:tc>
      </w:tr>
      <w:tr w:rsidR="008B26D9" w:rsidRPr="004026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15 471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4D146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430 283,78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445 754,78</w:t>
            </w:r>
          </w:p>
        </w:tc>
      </w:tr>
      <w:tr w:rsidR="008B26D9" w:rsidRPr="004026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194 193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4026E2" w:rsidRDefault="008B26D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682 193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Принципами развития централизованной системы водоотведения являются: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Целью подпрограммы II «</w:t>
      </w:r>
      <w:r w:rsidR="00240A03"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является очистка сточных вод до нормативных значений.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4026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4026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1 127 947,78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625E7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471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624 476,78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ых объектов очистки сточных вод суммарной производительностью</w:t>
            </w:r>
          </w:p>
          <w:p w:rsidR="00537860" w:rsidRPr="004026E2" w:rsidRDefault="00537860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445 754,78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625E7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471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625E76" w:rsidP="004026E2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43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0 283,78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193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000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193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4026E2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через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2018 - 2019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1107276,78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4026E2" w:rsidRDefault="003726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471</w:t>
            </w:r>
            <w:r w:rsidR="007E4AF1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4026E2" w:rsidRDefault="007E4AF1" w:rsidP="004026E2">
            <w:pPr>
              <w:shd w:val="clear" w:color="auto" w:fill="FFFFFF" w:themeFill="background1"/>
              <w:spacing w:after="0" w:line="240" w:lineRule="auto"/>
              <w:ind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603 805,78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E24BAB" w:rsidRPr="004026E2" w:rsidRDefault="00E24BAB" w:rsidP="004026E2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4026E2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425 083,78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4026E2" w:rsidRDefault="003726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471</w:t>
            </w:r>
            <w:r w:rsidR="007E4AF1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4026E2" w:rsidRDefault="007E4AF1" w:rsidP="004026E2">
            <w:pPr>
              <w:shd w:val="clear" w:color="auto" w:fill="FFFFFF" w:themeFill="background1"/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409 612,78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4026E2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193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000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4026E2" w:rsidRDefault="00E24BA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193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4026E2" w:rsidRDefault="00E24BA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D5197" w:rsidRPr="004026E2" w:rsidTr="00BA715E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1.2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4026E2" w:rsidRDefault="00986D7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Перекладка напорной канализации 2Д400 по </w:t>
            </w: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ул. Ткацкая фабрика,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Опалиха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 г. Красногорска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7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353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7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353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911E2E" w:rsidRPr="004026E2" w:rsidTr="00BA715E">
        <w:trPr>
          <w:trHeight w:val="582"/>
        </w:trPr>
        <w:tc>
          <w:tcPr>
            <w:tcW w:w="567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353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</w:t>
            </w: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353</w:t>
            </w:r>
            <w:r w:rsidR="003A3EF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4026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1.3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канализационных сетей п. Инженерный, д. Ивановское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3A3EF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3A3EFE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10 818,00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911E2E" w:rsidRPr="004026E2" w:rsidTr="00BA715E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3A3EF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911E2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4026E2" w:rsidRDefault="003A3EFE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10 818,00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4026E2" w:rsidRDefault="00911E2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4026E2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4026E2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4026E2" w:rsidRDefault="00E0219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1 197 215,49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4D146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541 077,46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11E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632E" w:rsidRPr="004026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E0219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2 866 871,59</w:t>
            </w:r>
          </w:p>
        </w:tc>
      </w:tr>
      <w:tr w:rsidR="007F7C04" w:rsidRPr="004026E2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4026E2" w:rsidRDefault="00640F97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</w:t>
            </w:r>
            <w:r w:rsidR="00FB61EC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604,60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4D146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184</w:t>
            </w:r>
            <w:r w:rsidR="00E02195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 908,49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263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114 700,46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263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911E2E" w:rsidRPr="004026E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92632E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049 213,55</w:t>
            </w:r>
          </w:p>
        </w:tc>
      </w:tr>
      <w:tr w:rsidR="007F7C04" w:rsidRPr="004026E2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26F56"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640F9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E0219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952 307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481C3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E0219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1 552 658,04</w:t>
            </w:r>
          </w:p>
        </w:tc>
      </w:tr>
      <w:tr w:rsidR="007F7C04" w:rsidRPr="004026E2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4026E2" w:rsidRDefault="007F7C0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193547" w:rsidRPr="004026E2" w:rsidRDefault="00193547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r w:rsidR="00A26F56"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основном ПАО «Красногорская теплосеть», ОАО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«Водоканал», ООО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Производственная деятельность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4026E2" w:rsidRDefault="00537860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0D7EAA" w:rsidRPr="004026E2" w:rsidRDefault="000D7EAA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shd w:val="clear" w:color="auto" w:fill="FFFFFF" w:themeFill="background1"/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4026E2" w:rsidRDefault="00537860" w:rsidP="004026E2">
      <w:pPr>
        <w:numPr>
          <w:ilvl w:val="0"/>
          <w:numId w:val="9"/>
        </w:numPr>
        <w:shd w:val="clear" w:color="auto" w:fill="FFFFFF" w:themeFill="background1"/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 приобретение,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4026E2" w:rsidRDefault="00193547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4026E2" w:rsidRDefault="00193547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4026E2" w:rsidRDefault="000D7EAA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4026E2" w:rsidRDefault="00FA2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4026E2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026E2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D0B88" w:rsidRPr="004026E2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2 866 871,59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B88" w:rsidRPr="004026E2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957 578,64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B88" w:rsidRPr="005D0B88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B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1 197 215,49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511 077,46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D0B88" w:rsidRPr="004026E2" w:rsidTr="00877C62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049 213,55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638 604,60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5D0B88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0B8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184 908,49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114700,46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D0B88" w:rsidRPr="004026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1 552 658,04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5D0B88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0B8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952 307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D0B88" w:rsidRPr="004026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5D0B88" w:rsidRDefault="005D0B88" w:rsidP="005D0B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5D0B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B88" w:rsidRPr="004026E2" w:rsidRDefault="005D0B88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230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тепло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неисполнения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либо отказа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указанных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снижению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281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20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задолженности предприятий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предоставляющих жилищно-коммунальные услуги населению, за энергоносители и за услуги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4026E2" w:rsidRDefault="00DE6A09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FB61EC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537860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0 000</w:t>
            </w:r>
          </w:p>
        </w:tc>
        <w:tc>
          <w:tcPr>
            <w:tcW w:w="851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hanging="14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</w:t>
            </w:r>
            <w:r w:rsidR="000D7EAA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000</w:t>
            </w:r>
            <w:r w:rsidR="00537860"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3A3EFE" w:rsidRPr="004026E2" w:rsidTr="00AA1D1D">
        <w:trPr>
          <w:trHeight w:val="1531"/>
          <w:jc w:val="center"/>
        </w:trPr>
        <w:tc>
          <w:tcPr>
            <w:tcW w:w="567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100 000</w:t>
            </w:r>
          </w:p>
        </w:tc>
        <w:tc>
          <w:tcPr>
            <w:tcW w:w="992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100 000</w:t>
            </w:r>
          </w:p>
        </w:tc>
        <w:tc>
          <w:tcPr>
            <w:tcW w:w="851" w:type="dxa"/>
            <w:vAlign w:val="center"/>
          </w:tcPr>
          <w:p w:rsidR="003A3EFE" w:rsidRPr="004026E2" w:rsidRDefault="003A3EFE" w:rsidP="004026E2">
            <w:pPr>
              <w:shd w:val="clear" w:color="auto" w:fill="FFFFFF" w:themeFill="background1"/>
              <w:spacing w:after="0" w:line="240" w:lineRule="auto"/>
              <w:ind w:hanging="14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100000</w:t>
            </w:r>
          </w:p>
        </w:tc>
        <w:tc>
          <w:tcPr>
            <w:tcW w:w="708" w:type="dxa"/>
            <w:vAlign w:val="center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EFE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Актуализация схем теплоснабжения,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4026E2" w:rsidRDefault="000D7EAA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140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4026E2" w:rsidRDefault="000D7EAA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14 010</w:t>
            </w:r>
          </w:p>
        </w:tc>
        <w:tc>
          <w:tcPr>
            <w:tcW w:w="1276" w:type="dxa"/>
            <w:vAlign w:val="center"/>
          </w:tcPr>
          <w:p w:rsidR="00537860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9 505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117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14 010</w:t>
            </w:r>
          </w:p>
        </w:tc>
        <w:tc>
          <w:tcPr>
            <w:tcW w:w="1276" w:type="dxa"/>
            <w:vAlign w:val="center"/>
          </w:tcPr>
          <w:p w:rsidR="00537860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9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</w:t>
            </w:r>
            <w:r w:rsidR="000D7EAA"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3A3EF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4026E2" w:rsidRDefault="000D7EAA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4026E2" w:rsidRDefault="000D7EA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4026E2" w:rsidRDefault="000D7EA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537860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4026E2" w:rsidTr="00AA1D1D">
        <w:trPr>
          <w:trHeight w:val="699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4026E2" w:rsidRDefault="000D7EAA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4026E2" w:rsidRDefault="000D7EA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D02FCE" w:rsidRPr="004026E2" w:rsidRDefault="00D02FC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4026E2" w:rsidRDefault="000D7EAA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D02FC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4026E2" w:rsidRDefault="00D02FC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44511" w:rsidRPr="004026E2" w:rsidTr="00AA1D1D">
        <w:trPr>
          <w:trHeight w:val="38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4026E2" w:rsidRDefault="00481C37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25 933,27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4026E2" w:rsidRDefault="00AF6B5B" w:rsidP="004026E2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992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</w:tr>
      <w:tr w:rsidR="00844511" w:rsidRPr="004026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4026E2" w:rsidRDefault="00481C37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556,27</w:t>
            </w:r>
          </w:p>
        </w:tc>
        <w:tc>
          <w:tcPr>
            <w:tcW w:w="1276" w:type="dxa"/>
            <w:vAlign w:val="center"/>
          </w:tcPr>
          <w:p w:rsidR="00844511" w:rsidRPr="004026E2" w:rsidRDefault="0084451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4026E2" w:rsidRDefault="00AF6B5B" w:rsidP="004026E2">
            <w:pPr>
              <w:shd w:val="clear" w:color="auto" w:fill="FFFFFF" w:themeFill="background1"/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522,27</w:t>
            </w:r>
          </w:p>
        </w:tc>
        <w:tc>
          <w:tcPr>
            <w:tcW w:w="992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4511" w:rsidRPr="004026E2" w:rsidRDefault="0084451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4026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4026E2" w:rsidRDefault="005048D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4026E2" w:rsidRDefault="00481C37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1276" w:type="dxa"/>
            <w:vAlign w:val="center"/>
          </w:tcPr>
          <w:p w:rsidR="005048DB" w:rsidRPr="004026E2" w:rsidRDefault="005048DB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48DB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992" w:type="dxa"/>
            <w:vAlign w:val="center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4026E2" w:rsidRDefault="005048D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4026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444 244,75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0015FC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0015FC" w:rsidRPr="004026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4 803,75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939,270</w:t>
            </w:r>
          </w:p>
        </w:tc>
        <w:tc>
          <w:tcPr>
            <w:tcW w:w="992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992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4026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439 441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92 941,00</w:t>
            </w:r>
          </w:p>
        </w:tc>
        <w:tc>
          <w:tcPr>
            <w:tcW w:w="992" w:type="dxa"/>
            <w:vAlign w:val="center"/>
          </w:tcPr>
          <w:p w:rsidR="000015FC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92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B2BE2" w:rsidRPr="004026E2" w:rsidTr="00AA1D1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3A3EF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418" w:type="dxa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BE2" w:rsidRPr="004026E2" w:rsidRDefault="00FB2B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4026E2" w:rsidRDefault="00566EC1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102 354,44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4026E2" w:rsidRDefault="00FB2BE2" w:rsidP="004026E2">
            <w:pPr>
              <w:shd w:val="clear" w:color="auto" w:fill="FFFFFF" w:themeFill="background1"/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B2BE2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FB2BE2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71 145,22</w:t>
            </w:r>
          </w:p>
        </w:tc>
        <w:tc>
          <w:tcPr>
            <w:tcW w:w="851" w:type="dxa"/>
            <w:vAlign w:val="center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2BE2" w:rsidRPr="004026E2" w:rsidRDefault="00FB2B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F6B5B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3 548,44</w:t>
            </w:r>
          </w:p>
        </w:tc>
        <w:tc>
          <w:tcPr>
            <w:tcW w:w="1276" w:type="dxa"/>
            <w:vAlign w:val="center"/>
          </w:tcPr>
          <w:p w:rsidR="00AA1D1D" w:rsidRPr="004026E2" w:rsidRDefault="004648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AA1D1D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4026E2" w:rsidTr="000015FC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98 806</w:t>
            </w:r>
          </w:p>
        </w:tc>
        <w:tc>
          <w:tcPr>
            <w:tcW w:w="1276" w:type="dxa"/>
            <w:vAlign w:val="center"/>
          </w:tcPr>
          <w:p w:rsidR="000015FC" w:rsidRPr="004026E2" w:rsidRDefault="000015FC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4026E2" w:rsidRDefault="00AF6B5B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0015FC" w:rsidRPr="004026E2" w:rsidRDefault="00566EC1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851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4026E2" w:rsidRDefault="000015F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1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наружных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C3241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3A3EF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103 064,35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537860" w:rsidRPr="004026E2" w:rsidRDefault="00844511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8A0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218,56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B2BE2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</w:t>
            </w:r>
            <w:r w:rsidR="008A024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 192,35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178,790</w:t>
            </w:r>
          </w:p>
        </w:tc>
        <w:tc>
          <w:tcPr>
            <w:tcW w:w="992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1 013,56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B2B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101 872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17 667,00</w:t>
            </w:r>
          </w:p>
        </w:tc>
        <w:tc>
          <w:tcPr>
            <w:tcW w:w="992" w:type="dxa"/>
            <w:vAlign w:val="center"/>
          </w:tcPr>
          <w:p w:rsidR="00537860" w:rsidRPr="004026E2" w:rsidRDefault="00844511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84 205,00  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45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4026E2" w:rsidRDefault="00A26F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C3241A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B2B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246</w:t>
            </w:r>
            <w:r w:rsidR="008A024E"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891,33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537860" w:rsidRPr="004026E2" w:rsidRDefault="00844511" w:rsidP="004026E2">
            <w:pPr>
              <w:shd w:val="clear" w:color="auto" w:fill="FFFFFF" w:themeFill="background1"/>
              <w:spacing w:after="0" w:line="240" w:lineRule="auto"/>
              <w:ind w:right="-108"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  <w:r w:rsidR="008A0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705,56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2 905,33</w:t>
            </w:r>
          </w:p>
        </w:tc>
        <w:tc>
          <w:tcPr>
            <w:tcW w:w="1276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2 753,56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FB2B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243 986</w:t>
            </w:r>
          </w:p>
        </w:tc>
        <w:tc>
          <w:tcPr>
            <w:tcW w:w="1276" w:type="dxa"/>
            <w:vAlign w:val="center"/>
          </w:tcPr>
          <w:p w:rsidR="00537860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15 034,00</w:t>
            </w:r>
          </w:p>
        </w:tc>
        <w:tc>
          <w:tcPr>
            <w:tcW w:w="992" w:type="dxa"/>
            <w:vAlign w:val="center"/>
          </w:tcPr>
          <w:p w:rsidR="00537860" w:rsidRPr="004026E2" w:rsidRDefault="00844511" w:rsidP="004026E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228 952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4026E2" w:rsidTr="00AA1D1D">
        <w:trPr>
          <w:trHeight w:val="1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пос.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76120" w:rsidRPr="004026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4026E2" w:rsidRDefault="00A7612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4026E2" w:rsidRDefault="00A7612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4026E2" w:rsidTr="00AA1D1D">
        <w:trPr>
          <w:trHeight w:val="5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4026E2" w:rsidTr="00AA1D1D">
        <w:trPr>
          <w:trHeight w:val="576"/>
          <w:jc w:val="center"/>
        </w:trPr>
        <w:tc>
          <w:tcPr>
            <w:tcW w:w="567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4026E2" w:rsidRDefault="006F23F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4026E2" w:rsidRDefault="006F23F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4026E2" w:rsidTr="00AA1D1D">
        <w:trPr>
          <w:trHeight w:val="2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67C93" w:rsidRPr="004026E2" w:rsidRDefault="00EE52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5698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уставного капитала ПАО «Красногорская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4026E2" w:rsidRDefault="00F67C9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4026E2" w:rsidRDefault="00F67C9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4026E2" w:rsidTr="00AA1D1D">
        <w:trPr>
          <w:trHeight w:val="456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2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реконструкция, строительство, </w:t>
            </w:r>
          </w:p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8A024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105 814,42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37 771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024E" w:rsidRPr="004026E2" w:rsidTr="00AA1D1D">
        <w:trPr>
          <w:trHeight w:val="1849"/>
          <w:jc w:val="center"/>
        </w:trPr>
        <w:tc>
          <w:tcPr>
            <w:tcW w:w="567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105 814,42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37 771</w:t>
            </w:r>
          </w:p>
        </w:tc>
        <w:tc>
          <w:tcPr>
            <w:tcW w:w="992" w:type="dxa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A024E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024E" w:rsidRPr="004026E2" w:rsidRDefault="008A024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90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жилых домов №4,6,8,10,16,18,20 с перекладкой тепловых сетей большего диаметра </w:t>
            </w:r>
          </w:p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207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0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03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сети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водопровода по адресу: Московская область,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0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103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40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804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A189C" w:rsidRPr="004026E2" w:rsidTr="008A189C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4026E2" w:rsidRDefault="00FB61E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Ильинское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189C" w:rsidRPr="004026E2" w:rsidTr="008A189C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4026E2" w:rsidRDefault="00FB61E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4026E2" w:rsidRDefault="00503D1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4026E2" w:rsidRDefault="008A189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89C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Красногорск,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  <w:r w:rsidR="00C3241A" w:rsidRPr="004026E2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558 495,97</w:t>
            </w:r>
          </w:p>
        </w:tc>
        <w:tc>
          <w:tcPr>
            <w:tcW w:w="1276" w:type="dxa"/>
            <w:vAlign w:val="center"/>
          </w:tcPr>
          <w:p w:rsidR="00AA1D1D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ind w:right="-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E2">
              <w:rPr>
                <w:rFonts w:ascii="Times New Roman" w:hAnsi="Times New Roman" w:cs="Times New Roman"/>
                <w:sz w:val="20"/>
                <w:szCs w:val="20"/>
              </w:rPr>
              <w:t>500 696,93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4026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1D1D" w:rsidRPr="004026E2" w:rsidRDefault="00503D1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551 949</w:t>
            </w:r>
          </w:p>
        </w:tc>
        <w:tc>
          <w:tcPr>
            <w:tcW w:w="1276" w:type="dxa"/>
            <w:vAlign w:val="center"/>
          </w:tcPr>
          <w:p w:rsidR="00AA1D1D" w:rsidRPr="004026E2" w:rsidRDefault="008A189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57 221,00</w:t>
            </w:r>
          </w:p>
        </w:tc>
        <w:tc>
          <w:tcPr>
            <w:tcW w:w="992" w:type="dxa"/>
            <w:vAlign w:val="center"/>
          </w:tcPr>
          <w:p w:rsidR="00AA1D1D" w:rsidRPr="004026E2" w:rsidRDefault="00844511" w:rsidP="004026E2">
            <w:pPr>
              <w:shd w:val="clear" w:color="auto" w:fill="FFFFFF" w:themeFill="background1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E2">
              <w:rPr>
                <w:rFonts w:ascii="Times New Roman" w:hAnsi="Times New Roman" w:cs="Times New Roman"/>
                <w:sz w:val="20"/>
                <w:szCs w:val="20"/>
              </w:rPr>
              <w:t>494 728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6 546,97</w:t>
            </w:r>
          </w:p>
        </w:tc>
        <w:tc>
          <w:tcPr>
            <w:tcW w:w="1276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</w:t>
            </w:r>
          </w:p>
        </w:tc>
        <w:tc>
          <w:tcPr>
            <w:tcW w:w="992" w:type="dxa"/>
            <w:vAlign w:val="center"/>
          </w:tcPr>
          <w:p w:rsidR="00AA1D1D" w:rsidRPr="004026E2" w:rsidRDefault="008A024E" w:rsidP="004026E2">
            <w:pPr>
              <w:shd w:val="clear" w:color="auto" w:fill="FFFFFF" w:themeFill="background1"/>
              <w:ind w:right="-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E2">
              <w:rPr>
                <w:rFonts w:ascii="Times New Roman" w:hAnsi="Times New Roman" w:cs="Times New Roman"/>
                <w:sz w:val="20"/>
                <w:szCs w:val="20"/>
              </w:rPr>
              <w:t>5 968,93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2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реконструкция ЦТП-3-53-9; ЦТП-3а-53-9 с перераспределением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3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63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032F6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4026E2" w:rsidRDefault="00032F6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газопровода и газового оборудования д.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Путилково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4026E2" w:rsidRDefault="00AD5197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4026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1276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4026E2" w:rsidRDefault="00032F6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992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4026E2" w:rsidRDefault="00AA1D1D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4026E2" w:rsidRDefault="00AA1D1D" w:rsidP="004026E2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4026E2" w:rsidRDefault="00AA1D1D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02195" w:rsidRPr="004026E2" w:rsidTr="00E02195">
        <w:trPr>
          <w:trHeight w:val="46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2195" w:rsidRPr="004026E2" w:rsidRDefault="00E02195" w:rsidP="005D0B8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5D0B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02195" w:rsidRPr="005D0B88" w:rsidRDefault="005D0B88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D0B88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>Капитальный ремонт водопроводных сетей (аварийные работы) участок (ВК-30-ВК-36) пос. Архангельский городской округ Красногорск</w:t>
            </w:r>
            <w:r w:rsidR="00E02195" w:rsidRPr="005D0B88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40 521,21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40 521,21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02195" w:rsidRPr="004026E2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405,21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405,21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02195" w:rsidRPr="004026E2" w:rsidTr="00E02195">
        <w:trPr>
          <w:trHeight w:val="460"/>
          <w:jc w:val="center"/>
        </w:trPr>
        <w:tc>
          <w:tcPr>
            <w:tcW w:w="567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40 116</w:t>
            </w:r>
          </w:p>
        </w:tc>
        <w:tc>
          <w:tcPr>
            <w:tcW w:w="1276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40 116</w:t>
            </w:r>
          </w:p>
        </w:tc>
        <w:tc>
          <w:tcPr>
            <w:tcW w:w="992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2195" w:rsidRPr="004026E2" w:rsidRDefault="00E02195" w:rsidP="00E021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02195" w:rsidRPr="004026E2" w:rsidRDefault="00E02195" w:rsidP="00E02195">
            <w:pPr>
              <w:shd w:val="clear" w:color="auto" w:fill="FFFFFF" w:themeFill="background1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2195" w:rsidRPr="004026E2" w:rsidRDefault="00E02195" w:rsidP="00E021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4026E2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4026E2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4026E2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912E2" w:rsidRPr="004026E2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4026E2" w:rsidRDefault="00FB61EC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FB61EC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675,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3912E2" w:rsidRPr="004026E2" w:rsidTr="00BA715E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577,19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4026E2" w:rsidRDefault="003912E2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4026E2" w:rsidRDefault="003912E2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FB61EC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675,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этим снижению эффективности оказания услуг.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«Красногорская теплосеть», ОАО «Водоканал», ООО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4026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4026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4026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FB61EC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  <w:proofErr w:type="spellStart"/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мо-лодежи</w:t>
            </w:r>
            <w:proofErr w:type="spellEnd"/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4026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FB61EC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4026E2" w:rsidTr="002D76D6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FB61EC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2D76D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2D76D6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культуре, делам молодежи,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доли зданий, строений,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D76D6" w:rsidRPr="004026E2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r w:rsidR="00FB61EC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2D76D6" w:rsidRPr="004026E2" w:rsidRDefault="00FB61E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4026E2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4026E2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2D76D6" w:rsidRPr="004026E2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4026E2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BB5" w:rsidRPr="004026E2" w:rsidRDefault="00932BB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BB5" w:rsidRPr="004026E2" w:rsidRDefault="00240A03" w:rsidP="004026E2">
            <w:pPr>
              <w:shd w:val="clear" w:color="auto" w:fill="FFFFFF" w:themeFill="background1"/>
              <w:spacing w:after="0" w:line="240" w:lineRule="auto"/>
              <w:ind w:left="-11" w:right="-116" w:hanging="9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101117,19</w:t>
            </w:r>
          </w:p>
        </w:tc>
        <w:tc>
          <w:tcPr>
            <w:tcW w:w="851" w:type="dxa"/>
            <w:vAlign w:val="center"/>
          </w:tcPr>
          <w:p w:rsidR="00932BB5" w:rsidRPr="004026E2" w:rsidRDefault="00932BB5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932BB5" w:rsidRPr="004026E2" w:rsidRDefault="00240A0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851" w:type="dxa"/>
            <w:vAlign w:val="center"/>
          </w:tcPr>
          <w:p w:rsidR="00932BB5" w:rsidRPr="004026E2" w:rsidRDefault="00240A0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932BB5" w:rsidRPr="004026E2" w:rsidRDefault="00240A03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B5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4026E2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4026E2" w:rsidRDefault="007C7387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4026E2" w:rsidRDefault="008F5DF8" w:rsidP="004026E2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101117,19</w:t>
            </w:r>
          </w:p>
        </w:tc>
        <w:tc>
          <w:tcPr>
            <w:tcW w:w="851" w:type="dxa"/>
            <w:vAlign w:val="center"/>
          </w:tcPr>
          <w:p w:rsidR="007C7387" w:rsidRPr="004026E2" w:rsidRDefault="00932BB5" w:rsidP="004026E2">
            <w:pPr>
              <w:shd w:val="clear" w:color="auto" w:fill="FFFFFF" w:themeFill="background1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7C7387" w:rsidRPr="004026E2" w:rsidRDefault="007C7387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</w:t>
            </w:r>
            <w:r w:rsidR="008A189C"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6 149</w:t>
            </w:r>
          </w:p>
        </w:tc>
        <w:tc>
          <w:tcPr>
            <w:tcW w:w="851" w:type="dxa"/>
            <w:vAlign w:val="center"/>
          </w:tcPr>
          <w:p w:rsidR="007C7387" w:rsidRPr="004026E2" w:rsidRDefault="008A189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7C7387" w:rsidRPr="004026E2" w:rsidRDefault="008A189C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4026E2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замена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4026E2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4026E2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Установка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Образования,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4026E2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537860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4026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Оформление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энергопаспортов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701" w:type="dxa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4026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4026E2" w:rsidRDefault="002D76D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Pr="004026E2" w:rsidRDefault="00A6298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Красногорск, ул. Комсомольская, д. 2»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4026E2" w:rsidRDefault="00BA715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r w:rsidR="00A26F56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2460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г. Красногорск, д/о "Серебрянка"»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4026E2" w:rsidRDefault="00A26F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="00537860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537860">
        <w:trPr>
          <w:jc w:val="center"/>
        </w:trPr>
        <w:tc>
          <w:tcPr>
            <w:tcW w:w="2460" w:type="dxa"/>
            <w:gridSpan w:val="2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046B5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="004046B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реконструкции</w:t>
      </w:r>
    </w:p>
    <w:p w:rsidR="00537860" w:rsidRPr="004026E2" w:rsidRDefault="004046B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</w:r>
      <w:r w:rsidR="00537860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537860"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7860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4026E2" w:rsidTr="00472003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472003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472003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369E7" w:rsidRPr="004026E2" w:rsidTr="00472003">
        <w:trPr>
          <w:jc w:val="center"/>
        </w:trPr>
        <w:tc>
          <w:tcPr>
            <w:tcW w:w="624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      </w:r>
          </w:p>
        </w:tc>
        <w:tc>
          <w:tcPr>
            <w:tcW w:w="1510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9E7" w:rsidRPr="004026E2" w:rsidRDefault="0092632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4026E2" w:rsidRDefault="00C369E7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4026E2" w:rsidRDefault="0092632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  <w:r w:rsidR="00BD7D9F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4026E2" w:rsidRDefault="00C369E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9F" w:rsidRPr="004026E2" w:rsidTr="00472003">
        <w:trPr>
          <w:jc w:val="center"/>
        </w:trPr>
        <w:tc>
          <w:tcPr>
            <w:tcW w:w="624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BD7D9F" w:rsidRPr="004026E2" w:rsidRDefault="00BD7D9F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992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9F" w:rsidRPr="004026E2" w:rsidTr="00012E9E">
        <w:trPr>
          <w:jc w:val="center"/>
        </w:trPr>
        <w:tc>
          <w:tcPr>
            <w:tcW w:w="2460" w:type="dxa"/>
            <w:gridSpan w:val="2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5 216,20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D7D9F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992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55C55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1.5</w:t>
      </w:r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Реконструкция двух водозаборных узлов д. Тимошкино и д.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Степановское</w:t>
      </w:r>
      <w:proofErr w:type="spellEnd"/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55C55"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455C55" w:rsidRPr="004026E2" w:rsidTr="00472003">
        <w:trPr>
          <w:jc w:val="center"/>
        </w:trPr>
        <w:tc>
          <w:tcPr>
            <w:tcW w:w="624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455C55" w:rsidRPr="004026E2" w:rsidTr="00472003">
        <w:trPr>
          <w:jc w:val="center"/>
        </w:trPr>
        <w:tc>
          <w:tcPr>
            <w:tcW w:w="624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455C55" w:rsidRPr="004026E2" w:rsidRDefault="00455C55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4026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455C55" w:rsidRPr="004026E2" w:rsidRDefault="00455C5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4026E2" w:rsidTr="00472003">
        <w:trPr>
          <w:jc w:val="center"/>
        </w:trPr>
        <w:tc>
          <w:tcPr>
            <w:tcW w:w="62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 п. Ильинское-Усово</w:t>
            </w:r>
          </w:p>
        </w:tc>
        <w:tc>
          <w:tcPr>
            <w:tcW w:w="1510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472003">
        <w:trPr>
          <w:jc w:val="center"/>
        </w:trPr>
        <w:tc>
          <w:tcPr>
            <w:tcW w:w="62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472003">
        <w:trPr>
          <w:jc w:val="center"/>
        </w:trPr>
        <w:tc>
          <w:tcPr>
            <w:tcW w:w="2460" w:type="dxa"/>
            <w:gridSpan w:val="2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B53" w:rsidRPr="004026E2" w:rsidRDefault="007E7B5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1EC" w:rsidRPr="004026E2" w:rsidRDefault="00FB61EC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Pr="004026E2" w:rsidRDefault="00455C55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предусмотрено мероприятием 1.6.  «Проектирование и реконструкция водопроводных сетей в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Опалиха</w:t>
      </w:r>
      <w:proofErr w:type="spellEnd"/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261D0E" w:rsidRPr="004026E2" w:rsidTr="00472003">
        <w:trPr>
          <w:jc w:val="center"/>
        </w:trPr>
        <w:tc>
          <w:tcPr>
            <w:tcW w:w="62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261D0E" w:rsidRPr="004026E2" w:rsidTr="00472003">
        <w:trPr>
          <w:jc w:val="center"/>
        </w:trPr>
        <w:tc>
          <w:tcPr>
            <w:tcW w:w="62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4026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61D0E" w:rsidRPr="004026E2" w:rsidTr="00472003">
        <w:trPr>
          <w:jc w:val="center"/>
        </w:trPr>
        <w:tc>
          <w:tcPr>
            <w:tcW w:w="62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  <w:r w:rsidR="007E7B53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(в том числе ПИР)</w:t>
            </w:r>
          </w:p>
        </w:tc>
        <w:tc>
          <w:tcPr>
            <w:tcW w:w="1510" w:type="dxa"/>
            <w:vMerge w:val="restart"/>
          </w:tcPr>
          <w:p w:rsidR="00261D0E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261D0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4026E2" w:rsidTr="00472003">
        <w:trPr>
          <w:jc w:val="center"/>
        </w:trPr>
        <w:tc>
          <w:tcPr>
            <w:tcW w:w="62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4026E2" w:rsidRDefault="00261D0E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261D0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4026E2" w:rsidTr="00472003">
        <w:trPr>
          <w:jc w:val="center"/>
        </w:trPr>
        <w:tc>
          <w:tcPr>
            <w:tcW w:w="2460" w:type="dxa"/>
            <w:gridSpan w:val="2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261D0E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4026E2" w:rsidRDefault="00BD7D9F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29 510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4026E2" w:rsidRDefault="00261D0E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4026E2" w:rsidRDefault="00261D0E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Павшино</w:t>
      </w:r>
      <w:proofErr w:type="spellEnd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="00363DB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камеры</w:t>
      </w:r>
    </w:p>
    <w:p w:rsidR="00A26F5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левом берегу реки Москвы до камеры с регулирующими задвижками у пешеходного моста </w:t>
      </w:r>
    </w:p>
    <w:p w:rsidR="00537860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правом берегу с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дюкерным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переходом через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реку Москву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803"/>
        <w:gridCol w:w="803"/>
        <w:gridCol w:w="945"/>
        <w:gridCol w:w="661"/>
        <w:gridCol w:w="803"/>
        <w:gridCol w:w="804"/>
        <w:gridCol w:w="1423"/>
      </w:tblGrid>
      <w:tr w:rsidR="00537860" w:rsidRPr="004026E2" w:rsidTr="00363DB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D7D9F" w:rsidRPr="004026E2" w:rsidTr="00A26F56">
        <w:trPr>
          <w:jc w:val="center"/>
        </w:trPr>
        <w:tc>
          <w:tcPr>
            <w:tcW w:w="624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60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417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1107276,78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603805,78</w:t>
            </w:r>
          </w:p>
        </w:tc>
        <w:tc>
          <w:tcPr>
            <w:tcW w:w="661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BD7D9F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425083,78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A6298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15 471</w:t>
            </w:r>
          </w:p>
        </w:tc>
        <w:tc>
          <w:tcPr>
            <w:tcW w:w="945" w:type="dxa"/>
            <w:vAlign w:val="center"/>
          </w:tcPr>
          <w:p w:rsidR="00537860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409612,78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682 193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945" w:type="dxa"/>
            <w:vAlign w:val="center"/>
          </w:tcPr>
          <w:p w:rsidR="00537860" w:rsidRPr="004026E2" w:rsidRDefault="00932BB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</w:t>
            </w:r>
          </w:p>
        </w:tc>
        <w:tc>
          <w:tcPr>
            <w:tcW w:w="66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4026E2" w:rsidTr="00A26F56">
        <w:trPr>
          <w:jc w:val="center"/>
        </w:trPr>
        <w:tc>
          <w:tcPr>
            <w:tcW w:w="3397" w:type="dxa"/>
            <w:gridSpan w:val="2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B3E3C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1107276,78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B3E3C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503471</w:t>
            </w:r>
          </w:p>
        </w:tc>
        <w:tc>
          <w:tcPr>
            <w:tcW w:w="945" w:type="dxa"/>
            <w:vAlign w:val="center"/>
          </w:tcPr>
          <w:p w:rsidR="00FB3E3C" w:rsidRPr="004026E2" w:rsidRDefault="00BD7D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603805,78</w:t>
            </w:r>
          </w:p>
        </w:tc>
        <w:tc>
          <w:tcPr>
            <w:tcW w:w="661" w:type="dxa"/>
            <w:vAlign w:val="center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4026E2" w:rsidRDefault="00363DB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3 с</w:t>
      </w:r>
      <w:r w:rsidR="00E0759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последующим его демонтажем по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4026E2" w:rsidRDefault="00A26F5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</w:t>
      </w:r>
      <w:r w:rsidR="00E0759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Архангельское, г. о. Красногорск (в том числе ПИР)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1015"/>
        <w:gridCol w:w="1015"/>
        <w:gridCol w:w="1015"/>
        <w:gridCol w:w="1015"/>
        <w:gridCol w:w="1015"/>
        <w:gridCol w:w="1015"/>
        <w:gridCol w:w="1423"/>
      </w:tblGrid>
      <w:tr w:rsidR="00537860" w:rsidRPr="004026E2" w:rsidTr="00537860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4026E2" w:rsidTr="007E7B53">
        <w:trPr>
          <w:jc w:val="center"/>
        </w:trPr>
        <w:tc>
          <w:tcPr>
            <w:tcW w:w="62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с увеличением мощности ЦТП ПДХ Архангельское, ЦТП № 4, с отключением 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5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4026E2" w:rsidTr="00A26F56">
        <w:trPr>
          <w:jc w:val="center"/>
        </w:trPr>
        <w:tc>
          <w:tcPr>
            <w:tcW w:w="62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556,27</w:t>
            </w:r>
          </w:p>
        </w:tc>
        <w:tc>
          <w:tcPr>
            <w:tcW w:w="1015" w:type="dxa"/>
            <w:vAlign w:val="center"/>
          </w:tcPr>
          <w:p w:rsidR="00AD46E9" w:rsidRPr="004026E2" w:rsidRDefault="00261D0E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522,27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4026E2" w:rsidTr="00A26F56">
        <w:trPr>
          <w:jc w:val="center"/>
        </w:trPr>
        <w:tc>
          <w:tcPr>
            <w:tcW w:w="62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4026E2" w:rsidRDefault="00AD46E9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4026E2" w:rsidRDefault="00261D0E" w:rsidP="004026E2">
            <w:pPr>
              <w:shd w:val="clear" w:color="auto" w:fill="FFFFFF" w:themeFill="background1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4026E2" w:rsidRDefault="00AD46E9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F85" w:rsidRPr="004026E2" w:rsidTr="007E7B53">
        <w:trPr>
          <w:jc w:val="center"/>
        </w:trPr>
        <w:tc>
          <w:tcPr>
            <w:tcW w:w="2460" w:type="dxa"/>
            <w:gridSpan w:val="2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5F85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«Реконструкция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(в том числе ПИР)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4026E2" w:rsidTr="007E7B53">
        <w:trPr>
          <w:jc w:val="center"/>
        </w:trPr>
        <w:tc>
          <w:tcPr>
            <w:tcW w:w="62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444 244,75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992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A26F56">
        <w:trPr>
          <w:jc w:val="center"/>
        </w:trPr>
        <w:tc>
          <w:tcPr>
            <w:tcW w:w="62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4 803,75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939,27</w:t>
            </w:r>
          </w:p>
        </w:tc>
        <w:tc>
          <w:tcPr>
            <w:tcW w:w="992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4026E2" w:rsidTr="00A26F56">
        <w:trPr>
          <w:jc w:val="center"/>
        </w:trPr>
        <w:tc>
          <w:tcPr>
            <w:tcW w:w="62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4026E2" w:rsidRDefault="007E7B5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439 441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92 941</w:t>
            </w:r>
          </w:p>
        </w:tc>
        <w:tc>
          <w:tcPr>
            <w:tcW w:w="992" w:type="dxa"/>
            <w:vAlign w:val="center"/>
          </w:tcPr>
          <w:p w:rsidR="007E7B53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92" w:type="dxa"/>
            <w:vAlign w:val="center"/>
          </w:tcPr>
          <w:p w:rsidR="007E7B53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992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4026E2" w:rsidRDefault="007E7B5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EC1" w:rsidRPr="004026E2" w:rsidTr="007E7B53">
        <w:trPr>
          <w:jc w:val="center"/>
        </w:trPr>
        <w:tc>
          <w:tcPr>
            <w:tcW w:w="2460" w:type="dxa"/>
            <w:gridSpan w:val="2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444 244,75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992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66EC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4026E2" w:rsidRDefault="00A62AFD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B0091" w:rsidRPr="004026E2" w:rsidTr="000015FC">
        <w:trPr>
          <w:jc w:val="center"/>
        </w:trPr>
        <w:tc>
          <w:tcPr>
            <w:tcW w:w="624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 ПИР)</w:t>
            </w:r>
          </w:p>
        </w:tc>
        <w:tc>
          <w:tcPr>
            <w:tcW w:w="1510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5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0091" w:rsidRPr="004026E2" w:rsidRDefault="00566EC1" w:rsidP="004026E2">
            <w:pPr>
              <w:shd w:val="clear" w:color="auto" w:fill="FFFFFF" w:themeFill="background1"/>
              <w:spacing w:after="0" w:line="240" w:lineRule="auto"/>
              <w:ind w:hanging="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102 354,44</w:t>
            </w:r>
          </w:p>
        </w:tc>
        <w:tc>
          <w:tcPr>
            <w:tcW w:w="992" w:type="dxa"/>
            <w:vAlign w:val="center"/>
          </w:tcPr>
          <w:p w:rsidR="005B0091" w:rsidRPr="004026E2" w:rsidRDefault="005B00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5B0091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71 145,22</w:t>
            </w:r>
          </w:p>
        </w:tc>
        <w:tc>
          <w:tcPr>
            <w:tcW w:w="992" w:type="dxa"/>
            <w:vAlign w:val="center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B0091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4026E2" w:rsidTr="00A26F56">
        <w:trPr>
          <w:jc w:val="center"/>
        </w:trPr>
        <w:tc>
          <w:tcPr>
            <w:tcW w:w="62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3 548,44</w:t>
            </w:r>
          </w:p>
        </w:tc>
        <w:tc>
          <w:tcPr>
            <w:tcW w:w="992" w:type="dxa"/>
            <w:vAlign w:val="center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4026E2" w:rsidTr="00A26F56">
        <w:trPr>
          <w:jc w:val="center"/>
        </w:trPr>
        <w:tc>
          <w:tcPr>
            <w:tcW w:w="62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4026E2" w:rsidRDefault="00566EC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98 806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4026E2" w:rsidRDefault="00FE058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058C" w:rsidRPr="004026E2" w:rsidRDefault="007C5F85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FE058C" w:rsidRPr="004026E2" w:rsidRDefault="00566EC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992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C14" w:rsidRPr="004026E2" w:rsidTr="00566EC1">
        <w:trPr>
          <w:jc w:val="center"/>
        </w:trPr>
        <w:tc>
          <w:tcPr>
            <w:tcW w:w="2460" w:type="dxa"/>
            <w:gridSpan w:val="2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shd w:val="clear" w:color="auto" w:fill="FFFFFF" w:themeFill="background1"/>
              <w:spacing w:after="0" w:line="240" w:lineRule="auto"/>
              <w:ind w:hanging="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208 089,44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176 880,22</w:t>
            </w:r>
          </w:p>
        </w:tc>
        <w:tc>
          <w:tcPr>
            <w:tcW w:w="992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E00C14" w:rsidRPr="004026E2" w:rsidRDefault="00E00C14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адресу: </w:t>
      </w:r>
      <w:proofErr w:type="spellStart"/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4026E2" w:rsidTr="00A26F56">
        <w:trPr>
          <w:jc w:val="center"/>
        </w:trPr>
        <w:tc>
          <w:tcPr>
            <w:tcW w:w="62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103 064,35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7C7387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85 218,56</w:t>
            </w:r>
          </w:p>
        </w:tc>
        <w:tc>
          <w:tcPr>
            <w:tcW w:w="992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1 192,35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178,79</w:t>
            </w:r>
          </w:p>
        </w:tc>
        <w:tc>
          <w:tcPr>
            <w:tcW w:w="992" w:type="dxa"/>
            <w:vAlign w:val="center"/>
          </w:tcPr>
          <w:p w:rsidR="00537860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101 872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17 667</w:t>
            </w:r>
          </w:p>
        </w:tc>
        <w:tc>
          <w:tcPr>
            <w:tcW w:w="992" w:type="dxa"/>
            <w:vAlign w:val="center"/>
          </w:tcPr>
          <w:p w:rsidR="00537860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84 205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9F" w:rsidRPr="004026E2" w:rsidTr="00A26F56">
        <w:trPr>
          <w:jc w:val="center"/>
        </w:trPr>
        <w:tc>
          <w:tcPr>
            <w:tcW w:w="2460" w:type="dxa"/>
            <w:gridSpan w:val="2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103 064,35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85 218,56</w:t>
            </w:r>
          </w:p>
        </w:tc>
        <w:tc>
          <w:tcPr>
            <w:tcW w:w="992" w:type="dxa"/>
            <w:vAlign w:val="center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26F56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Реконструкции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наружных канализационных сетей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по </w:t>
      </w:r>
      <w:r w:rsidR="00A26F56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4026E2" w:rsidRDefault="00A26F56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Красногорск, пос. Архангельское, территория музея -  усадьбы "Архангельское" и прилегающая территория. (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 том</w:t>
      </w:r>
      <w:r w:rsidR="00DE28C8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числе ПИР)</w:t>
      </w:r>
      <w:r w:rsidR="00537860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4026E2" w:rsidTr="00A26F56">
        <w:trPr>
          <w:jc w:val="center"/>
        </w:trPr>
        <w:tc>
          <w:tcPr>
            <w:tcW w:w="62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4026E2" w:rsidRDefault="00A26F56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7C7387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7C7387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7C7387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  <w:r w:rsidR="009F6A9F"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891,33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7C7387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 w:rsidR="009F6A9F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705,56</w:t>
            </w:r>
          </w:p>
        </w:tc>
        <w:tc>
          <w:tcPr>
            <w:tcW w:w="992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4026E2" w:rsidRDefault="007C7387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2 905,33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6A9F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753,56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243 986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4026E2" w:rsidRDefault="00FE058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15 034</w:t>
            </w:r>
          </w:p>
        </w:tc>
        <w:tc>
          <w:tcPr>
            <w:tcW w:w="992" w:type="dxa"/>
            <w:vAlign w:val="center"/>
          </w:tcPr>
          <w:p w:rsidR="00537860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228 952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9F" w:rsidRPr="004026E2" w:rsidTr="00A26F56">
        <w:trPr>
          <w:jc w:val="center"/>
        </w:trPr>
        <w:tc>
          <w:tcPr>
            <w:tcW w:w="2460" w:type="dxa"/>
            <w:gridSpan w:val="2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246 891,33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231 705,56</w:t>
            </w:r>
          </w:p>
        </w:tc>
        <w:tc>
          <w:tcPr>
            <w:tcW w:w="992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D35DB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4026E2" w:rsidTr="00A26F56">
        <w:trPr>
          <w:jc w:val="center"/>
        </w:trPr>
        <w:tc>
          <w:tcPr>
            <w:tcW w:w="62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4026E2" w:rsidTr="00A26F56">
        <w:trPr>
          <w:jc w:val="center"/>
        </w:trPr>
        <w:tc>
          <w:tcPr>
            <w:tcW w:w="624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5D32A3" w:rsidRPr="004026E2" w:rsidRDefault="00FB3E3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Pr="004026E2" w:rsidRDefault="00FB3E3C" w:rsidP="00402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4026E2" w:rsidRDefault="005D32A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4026E2" w:rsidTr="00A26F56">
        <w:trPr>
          <w:jc w:val="center"/>
        </w:trPr>
        <w:tc>
          <w:tcPr>
            <w:tcW w:w="62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4026E2" w:rsidRDefault="00537860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7860" w:rsidRPr="004026E2" w:rsidRDefault="00FB3E3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4026E2" w:rsidRDefault="00FB3E3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4026E2" w:rsidRDefault="00537860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4026E2" w:rsidTr="00A26F56">
        <w:trPr>
          <w:jc w:val="center"/>
        </w:trPr>
        <w:tc>
          <w:tcPr>
            <w:tcW w:w="2460" w:type="dxa"/>
            <w:gridSpan w:val="2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FB3E3C" w:rsidRPr="004026E2" w:rsidRDefault="00FB3E3C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Pr="004026E2" w:rsidRDefault="00FB3E3C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4026E2" w:rsidRDefault="00FB3E3C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4026E2" w:rsidRDefault="00FB3E3C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4026E2" w:rsidRDefault="00537860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4026E2" w:rsidRDefault="0013315E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28C8" w:rsidRPr="004026E2" w:rsidRDefault="00DE28C8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28C8" w:rsidRPr="004026E2" w:rsidRDefault="00DE28C8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AA70F3"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«Проектирование и строительство сетей водоснабжения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DE28C8" w:rsidRPr="004026E2" w:rsidTr="00A26F56">
        <w:trPr>
          <w:jc w:val="center"/>
        </w:trPr>
        <w:tc>
          <w:tcPr>
            <w:tcW w:w="62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4026E2" w:rsidTr="00A26F56">
        <w:trPr>
          <w:jc w:val="center"/>
        </w:trPr>
        <w:tc>
          <w:tcPr>
            <w:tcW w:w="62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4026E2" w:rsidTr="00A26F56">
        <w:trPr>
          <w:jc w:val="center"/>
        </w:trPr>
        <w:tc>
          <w:tcPr>
            <w:tcW w:w="2460" w:type="dxa"/>
            <w:gridSpan w:val="2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4026E2" w:rsidRDefault="00DE28C8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4026E2" w:rsidRDefault="00DE28C8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4026E2" w:rsidRDefault="00DE28C8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4026E2" w:rsidRDefault="00DE28C8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4026E2" w:rsidRDefault="00DE28C8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1.22 «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4026E2" w:rsidRDefault="007851F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7851FB" w:rsidRPr="004026E2" w:rsidTr="00A26F56">
        <w:trPr>
          <w:jc w:val="center"/>
        </w:trPr>
        <w:tc>
          <w:tcPr>
            <w:tcW w:w="62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4026E2" w:rsidTr="00A26F56">
        <w:trPr>
          <w:jc w:val="center"/>
        </w:trPr>
        <w:tc>
          <w:tcPr>
            <w:tcW w:w="624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7851FB" w:rsidRPr="004026E2" w:rsidRDefault="007851F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4026E2" w:rsidTr="00A26F56">
        <w:trPr>
          <w:jc w:val="center"/>
        </w:trPr>
        <w:tc>
          <w:tcPr>
            <w:tcW w:w="624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4026E2" w:rsidTr="00A26F56">
        <w:trPr>
          <w:jc w:val="center"/>
        </w:trPr>
        <w:tc>
          <w:tcPr>
            <w:tcW w:w="62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7851FB" w:rsidRPr="004026E2" w:rsidRDefault="005B009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7851F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7851FB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4026E2" w:rsidRDefault="007851F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</w:tcPr>
          <w:p w:rsidR="00D35DB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2460" w:type="dxa"/>
            <w:gridSpan w:val="2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D35DBB" w:rsidRPr="004026E2" w:rsidRDefault="005B0091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D35DBB" w:rsidRPr="004026E2" w:rsidRDefault="00D35DBB" w:rsidP="004026E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6E2"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4026E2" w:rsidRDefault="005B00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851FB" w:rsidRPr="004026E2" w:rsidRDefault="007851F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предусмотрено мероприятием 1.23 «Реконструкция тепловых сетей отопления и горячего водоснабжения по адресу: </w:t>
      </w:r>
      <w:proofErr w:type="spellStart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г.о.Красногорск</w:t>
      </w:r>
      <w:proofErr w:type="spellEnd"/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AA70F3" w:rsidRPr="004026E2" w:rsidTr="00A26F56">
        <w:trPr>
          <w:jc w:val="center"/>
        </w:trPr>
        <w:tc>
          <w:tcPr>
            <w:tcW w:w="62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4026E2" w:rsidTr="00A26F56">
        <w:trPr>
          <w:jc w:val="center"/>
        </w:trPr>
        <w:tc>
          <w:tcPr>
            <w:tcW w:w="62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4026E2" w:rsidTr="00A26F56">
        <w:trPr>
          <w:jc w:val="center"/>
        </w:trPr>
        <w:tc>
          <w:tcPr>
            <w:tcW w:w="624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4026E2" w:rsidTr="00A26F56">
        <w:trPr>
          <w:jc w:val="center"/>
        </w:trPr>
        <w:tc>
          <w:tcPr>
            <w:tcW w:w="62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г.о.Красногорск</w:t>
            </w:r>
            <w:proofErr w:type="spellEnd"/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AA70F3" w:rsidRPr="004026E2" w:rsidRDefault="009F6A9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558 495,97</w:t>
            </w:r>
          </w:p>
        </w:tc>
        <w:tc>
          <w:tcPr>
            <w:tcW w:w="987" w:type="dxa"/>
            <w:vAlign w:val="center"/>
          </w:tcPr>
          <w:p w:rsidR="00AA70F3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850" w:type="dxa"/>
          </w:tcPr>
          <w:p w:rsidR="00AA70F3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500696,93</w:t>
            </w:r>
          </w:p>
        </w:tc>
        <w:tc>
          <w:tcPr>
            <w:tcW w:w="992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4026E2" w:rsidTr="00A26F56">
        <w:trPr>
          <w:jc w:val="center"/>
        </w:trPr>
        <w:tc>
          <w:tcPr>
            <w:tcW w:w="62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AA70F3" w:rsidRPr="004026E2" w:rsidRDefault="009F6A9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6 546,97</w:t>
            </w:r>
          </w:p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A70F3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</w:t>
            </w:r>
          </w:p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70F3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5 968,93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4026E2" w:rsidTr="00A26F56">
        <w:trPr>
          <w:jc w:val="center"/>
        </w:trPr>
        <w:tc>
          <w:tcPr>
            <w:tcW w:w="62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4026E2" w:rsidRDefault="00AA70F3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56" w:type="dxa"/>
            <w:vAlign w:val="center"/>
          </w:tcPr>
          <w:p w:rsidR="00AA70F3" w:rsidRPr="004026E2" w:rsidRDefault="005B0091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551 949</w:t>
            </w:r>
          </w:p>
        </w:tc>
        <w:tc>
          <w:tcPr>
            <w:tcW w:w="987" w:type="dxa"/>
            <w:vAlign w:val="center"/>
          </w:tcPr>
          <w:p w:rsidR="00AA70F3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57 221</w:t>
            </w:r>
          </w:p>
        </w:tc>
        <w:tc>
          <w:tcPr>
            <w:tcW w:w="850" w:type="dxa"/>
            <w:vAlign w:val="center"/>
          </w:tcPr>
          <w:p w:rsidR="00AA70F3" w:rsidRPr="004026E2" w:rsidRDefault="005B0091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494 728</w:t>
            </w:r>
          </w:p>
        </w:tc>
        <w:tc>
          <w:tcPr>
            <w:tcW w:w="992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4026E2" w:rsidRDefault="00AA70F3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9F" w:rsidRPr="004026E2" w:rsidTr="00A26F56">
        <w:trPr>
          <w:jc w:val="center"/>
        </w:trPr>
        <w:tc>
          <w:tcPr>
            <w:tcW w:w="2460" w:type="dxa"/>
            <w:gridSpan w:val="2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9F6A9F" w:rsidRPr="004026E2" w:rsidRDefault="009F6A9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558 495,97</w:t>
            </w:r>
          </w:p>
        </w:tc>
        <w:tc>
          <w:tcPr>
            <w:tcW w:w="987" w:type="dxa"/>
            <w:vAlign w:val="center"/>
          </w:tcPr>
          <w:p w:rsidR="009F6A9F" w:rsidRPr="004026E2" w:rsidRDefault="009F6A9F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850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500696,93</w:t>
            </w:r>
          </w:p>
        </w:tc>
        <w:tc>
          <w:tcPr>
            <w:tcW w:w="992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9F6A9F" w:rsidRPr="004026E2" w:rsidRDefault="009F6A9F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3" w:rsidRPr="004026E2" w:rsidRDefault="00AA70F3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0F3" w:rsidRPr="004026E2" w:rsidRDefault="00AA70F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Pr="004026E2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62983" w:rsidRPr="004026E2" w:rsidRDefault="00A62983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Pr="004026E2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4026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1.27 «Проектирование и перекладка водопроводной сети г. Красногорск, ул. Комсомольская, ул. Циолковского»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0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4026E2" w:rsidRDefault="00D35DBB" w:rsidP="004026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D35DBB" w:rsidRPr="004026E2" w:rsidTr="00A26F56">
        <w:trPr>
          <w:jc w:val="center"/>
        </w:trPr>
        <w:tc>
          <w:tcPr>
            <w:tcW w:w="62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01.01.____* (тыс. руб.)</w:t>
            </w:r>
          </w:p>
        </w:tc>
        <w:tc>
          <w:tcPr>
            <w:tcW w:w="1271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510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4026E2" w:rsidTr="00A26F56">
        <w:trPr>
          <w:jc w:val="center"/>
        </w:trPr>
        <w:tc>
          <w:tcPr>
            <w:tcW w:w="62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87" w:type="dxa"/>
            <w:vAlign w:val="center"/>
          </w:tcPr>
          <w:p w:rsidR="00D35DBB" w:rsidRPr="004026E2" w:rsidRDefault="00D35DBB" w:rsidP="00402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4026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4026E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35DBB" w:rsidRDefault="00D35DBB" w:rsidP="004026E2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D35DBB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0"/>
    <w:rsid w:val="000015FC"/>
    <w:rsid w:val="00012E9E"/>
    <w:rsid w:val="00015EAA"/>
    <w:rsid w:val="00032F63"/>
    <w:rsid w:val="0005698C"/>
    <w:rsid w:val="000A7466"/>
    <w:rsid w:val="000B39E1"/>
    <w:rsid w:val="000B4670"/>
    <w:rsid w:val="000D122E"/>
    <w:rsid w:val="000D5C0D"/>
    <w:rsid w:val="000D7EAA"/>
    <w:rsid w:val="000E3C0E"/>
    <w:rsid w:val="000F726C"/>
    <w:rsid w:val="001066FB"/>
    <w:rsid w:val="0013315E"/>
    <w:rsid w:val="0018424E"/>
    <w:rsid w:val="00193547"/>
    <w:rsid w:val="001B224F"/>
    <w:rsid w:val="001D3EF2"/>
    <w:rsid w:val="001F7DB7"/>
    <w:rsid w:val="00240A03"/>
    <w:rsid w:val="002458AB"/>
    <w:rsid w:val="00261D0E"/>
    <w:rsid w:val="00263ADF"/>
    <w:rsid w:val="002B3404"/>
    <w:rsid w:val="002D76D6"/>
    <w:rsid w:val="002E52F3"/>
    <w:rsid w:val="003342BA"/>
    <w:rsid w:val="00363DB6"/>
    <w:rsid w:val="003726F3"/>
    <w:rsid w:val="003912E2"/>
    <w:rsid w:val="003A3EFE"/>
    <w:rsid w:val="003C396A"/>
    <w:rsid w:val="003D6C8B"/>
    <w:rsid w:val="004026E2"/>
    <w:rsid w:val="004046B5"/>
    <w:rsid w:val="00455C55"/>
    <w:rsid w:val="00464891"/>
    <w:rsid w:val="00467904"/>
    <w:rsid w:val="00472003"/>
    <w:rsid w:val="00472340"/>
    <w:rsid w:val="00481C37"/>
    <w:rsid w:val="00495CE7"/>
    <w:rsid w:val="004A54EA"/>
    <w:rsid w:val="004B2477"/>
    <w:rsid w:val="004D1465"/>
    <w:rsid w:val="004D5FF7"/>
    <w:rsid w:val="004E5F5A"/>
    <w:rsid w:val="00503D13"/>
    <w:rsid w:val="005048DB"/>
    <w:rsid w:val="00507AFB"/>
    <w:rsid w:val="0051635D"/>
    <w:rsid w:val="0051652B"/>
    <w:rsid w:val="00537860"/>
    <w:rsid w:val="005614CE"/>
    <w:rsid w:val="00566EC1"/>
    <w:rsid w:val="0059489C"/>
    <w:rsid w:val="005B0091"/>
    <w:rsid w:val="005C6ACD"/>
    <w:rsid w:val="005D0B88"/>
    <w:rsid w:val="005D32A3"/>
    <w:rsid w:val="005D352F"/>
    <w:rsid w:val="005F6529"/>
    <w:rsid w:val="006004F8"/>
    <w:rsid w:val="00615724"/>
    <w:rsid w:val="00616F0A"/>
    <w:rsid w:val="006238A7"/>
    <w:rsid w:val="00625E76"/>
    <w:rsid w:val="00631B5A"/>
    <w:rsid w:val="00636A0A"/>
    <w:rsid w:val="00640F97"/>
    <w:rsid w:val="00691D56"/>
    <w:rsid w:val="006B321E"/>
    <w:rsid w:val="006E5CD6"/>
    <w:rsid w:val="006F23F4"/>
    <w:rsid w:val="006F5D91"/>
    <w:rsid w:val="00730F92"/>
    <w:rsid w:val="007506D2"/>
    <w:rsid w:val="007851FB"/>
    <w:rsid w:val="007A05A3"/>
    <w:rsid w:val="007A12FA"/>
    <w:rsid w:val="007B7043"/>
    <w:rsid w:val="007C5F85"/>
    <w:rsid w:val="007C7387"/>
    <w:rsid w:val="007D54B2"/>
    <w:rsid w:val="007E2F72"/>
    <w:rsid w:val="007E4AF1"/>
    <w:rsid w:val="007E7B53"/>
    <w:rsid w:val="007F45F3"/>
    <w:rsid w:val="007F7C04"/>
    <w:rsid w:val="008030CE"/>
    <w:rsid w:val="00824871"/>
    <w:rsid w:val="00844511"/>
    <w:rsid w:val="008459D5"/>
    <w:rsid w:val="008645B2"/>
    <w:rsid w:val="00894EC8"/>
    <w:rsid w:val="008A024E"/>
    <w:rsid w:val="008A189C"/>
    <w:rsid w:val="008B26D9"/>
    <w:rsid w:val="008B763B"/>
    <w:rsid w:val="008F2992"/>
    <w:rsid w:val="008F5DF8"/>
    <w:rsid w:val="00911E2E"/>
    <w:rsid w:val="00914FB4"/>
    <w:rsid w:val="0092632E"/>
    <w:rsid w:val="00932BB5"/>
    <w:rsid w:val="00986D76"/>
    <w:rsid w:val="00993A1E"/>
    <w:rsid w:val="009F6A9F"/>
    <w:rsid w:val="00A00BB2"/>
    <w:rsid w:val="00A24289"/>
    <w:rsid w:val="00A26F56"/>
    <w:rsid w:val="00A44729"/>
    <w:rsid w:val="00A62983"/>
    <w:rsid w:val="00A62AFD"/>
    <w:rsid w:val="00A76120"/>
    <w:rsid w:val="00A85FA5"/>
    <w:rsid w:val="00AA1D1D"/>
    <w:rsid w:val="00AA424D"/>
    <w:rsid w:val="00AA70F3"/>
    <w:rsid w:val="00AD46E9"/>
    <w:rsid w:val="00AD5197"/>
    <w:rsid w:val="00AE2F5A"/>
    <w:rsid w:val="00AF6B5B"/>
    <w:rsid w:val="00B15513"/>
    <w:rsid w:val="00B615E7"/>
    <w:rsid w:val="00B95B1A"/>
    <w:rsid w:val="00BA715E"/>
    <w:rsid w:val="00BD7D9F"/>
    <w:rsid w:val="00BE6A5F"/>
    <w:rsid w:val="00C3241A"/>
    <w:rsid w:val="00C369E7"/>
    <w:rsid w:val="00C441ED"/>
    <w:rsid w:val="00CB5395"/>
    <w:rsid w:val="00D02FCE"/>
    <w:rsid w:val="00D079D9"/>
    <w:rsid w:val="00D35DBB"/>
    <w:rsid w:val="00D73768"/>
    <w:rsid w:val="00DB6483"/>
    <w:rsid w:val="00DE28C8"/>
    <w:rsid w:val="00DE6A09"/>
    <w:rsid w:val="00DF6A80"/>
    <w:rsid w:val="00E00C14"/>
    <w:rsid w:val="00E02195"/>
    <w:rsid w:val="00E0759B"/>
    <w:rsid w:val="00E24BAB"/>
    <w:rsid w:val="00E30359"/>
    <w:rsid w:val="00E66467"/>
    <w:rsid w:val="00E72238"/>
    <w:rsid w:val="00E833F6"/>
    <w:rsid w:val="00EC5B69"/>
    <w:rsid w:val="00EE52F3"/>
    <w:rsid w:val="00EE5510"/>
    <w:rsid w:val="00F0294E"/>
    <w:rsid w:val="00F13478"/>
    <w:rsid w:val="00F13B7E"/>
    <w:rsid w:val="00F4570E"/>
    <w:rsid w:val="00F67C93"/>
    <w:rsid w:val="00F77944"/>
    <w:rsid w:val="00F90914"/>
    <w:rsid w:val="00FA2DBB"/>
    <w:rsid w:val="00FB2BE2"/>
    <w:rsid w:val="00FB3E3C"/>
    <w:rsid w:val="00FB61EC"/>
    <w:rsid w:val="00FE058C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64</Pages>
  <Words>13706</Words>
  <Characters>78125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27</cp:revision>
  <cp:lastPrinted>2019-05-13T13:48:00Z</cp:lastPrinted>
  <dcterms:created xsi:type="dcterms:W3CDTF">2019-02-14T06:48:00Z</dcterms:created>
  <dcterms:modified xsi:type="dcterms:W3CDTF">2019-05-15T06:30:00Z</dcterms:modified>
</cp:coreProperties>
</file>