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55" w:rsidRDefault="000E5455" w:rsidP="000E5455">
      <w:pPr>
        <w:pStyle w:val="ConsPlusNormal"/>
        <w:ind w:left="10206"/>
        <w:rPr>
          <w:rFonts w:ascii="Times New Roman" w:hAnsi="Times New Roman" w:cs="Times New Roman"/>
          <w:sz w:val="28"/>
          <w:szCs w:val="28"/>
        </w:rPr>
      </w:pPr>
      <w:r>
        <w:rPr>
          <w:rFonts w:ascii="Times New Roman" w:hAnsi="Times New Roman" w:cs="Times New Roman"/>
          <w:sz w:val="28"/>
          <w:szCs w:val="28"/>
        </w:rPr>
        <w:t>Приложение</w:t>
      </w:r>
    </w:p>
    <w:p w:rsidR="000E5455" w:rsidRDefault="000E5455" w:rsidP="000E5455">
      <w:pPr>
        <w:pStyle w:val="ConsPlusNormal"/>
        <w:ind w:left="10206"/>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E5455" w:rsidRDefault="000E5455" w:rsidP="000E5455">
      <w:pPr>
        <w:pStyle w:val="ConsPlusNormal"/>
        <w:ind w:left="10206"/>
        <w:rPr>
          <w:rFonts w:ascii="Times New Roman" w:hAnsi="Times New Roman" w:cs="Times New Roman"/>
          <w:sz w:val="28"/>
          <w:szCs w:val="28"/>
        </w:rPr>
      </w:pPr>
      <w:r>
        <w:rPr>
          <w:rFonts w:ascii="Times New Roman" w:hAnsi="Times New Roman" w:cs="Times New Roman"/>
          <w:sz w:val="28"/>
          <w:szCs w:val="28"/>
        </w:rPr>
        <w:t>городского округа Красногорск</w:t>
      </w:r>
    </w:p>
    <w:p w:rsidR="000E5455" w:rsidRDefault="000E5455" w:rsidP="000E5455">
      <w:pPr>
        <w:pStyle w:val="ConsPlusNormal"/>
        <w:ind w:left="10206"/>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Московской области </w:t>
      </w:r>
    </w:p>
    <w:p w:rsidR="000E5455" w:rsidRDefault="000E5455" w:rsidP="000E5455">
      <w:pPr>
        <w:pStyle w:val="ConsPlusNormal"/>
        <w:ind w:left="10206"/>
        <w:rPr>
          <w:rFonts w:ascii="Times New Roman" w:hAnsi="Times New Roman" w:cs="Times New Roman"/>
          <w:sz w:val="28"/>
          <w:szCs w:val="28"/>
        </w:rPr>
      </w:pPr>
      <w:r>
        <w:rPr>
          <w:rFonts w:ascii="Times New Roman" w:hAnsi="Times New Roman" w:cs="Times New Roman"/>
          <w:sz w:val="28"/>
          <w:szCs w:val="28"/>
        </w:rPr>
        <w:t>от ____________ № ______________</w:t>
      </w:r>
    </w:p>
    <w:p w:rsidR="00BA10F5" w:rsidRPr="0049379E" w:rsidRDefault="00BA10F5" w:rsidP="00BA10F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 xml:space="preserve">Паспорт подпрограммы </w:t>
      </w:r>
      <w:r w:rsidRPr="0049379E">
        <w:rPr>
          <w:rFonts w:ascii="Times New Roman" w:eastAsia="Times New Roman" w:hAnsi="Times New Roman" w:cs="Times New Roman"/>
          <w:b/>
          <w:sz w:val="28"/>
          <w:szCs w:val="28"/>
          <w:lang w:val="en-US" w:eastAsia="ru-RU"/>
        </w:rPr>
        <w:t>III</w:t>
      </w:r>
      <w:r w:rsidRPr="0049379E">
        <w:rPr>
          <w:rFonts w:ascii="Times New Roman" w:eastAsia="Times New Roman" w:hAnsi="Times New Roman" w:cs="Times New Roman"/>
          <w:b/>
          <w:sz w:val="28"/>
          <w:szCs w:val="28"/>
          <w:lang w:eastAsia="ru-RU"/>
        </w:rPr>
        <w:t xml:space="preserve"> </w:t>
      </w:r>
    </w:p>
    <w:p w:rsidR="00BA10F5" w:rsidRDefault="00BA10F5" w:rsidP="00BA10F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«Обеспечение жильем молодых семей»</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816"/>
        <w:gridCol w:w="1276"/>
        <w:gridCol w:w="1275"/>
        <w:gridCol w:w="1276"/>
        <w:gridCol w:w="1276"/>
        <w:gridCol w:w="1276"/>
        <w:gridCol w:w="1701"/>
      </w:tblGrid>
      <w:tr w:rsidR="00BA10F5" w:rsidRPr="0049379E" w:rsidTr="000E5455">
        <w:tc>
          <w:tcPr>
            <w:tcW w:w="3628" w:type="dxa"/>
            <w:gridSpan w:val="2"/>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Заказчик подпрограммы</w:t>
            </w:r>
          </w:p>
        </w:tc>
        <w:tc>
          <w:tcPr>
            <w:tcW w:w="11540" w:type="dxa"/>
            <w:gridSpan w:val="8"/>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r>
      <w:tr w:rsidR="00BA10F5" w:rsidRPr="0049379E" w:rsidTr="000E5455">
        <w:tc>
          <w:tcPr>
            <w:tcW w:w="198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Наименование подпрограммы</w:t>
            </w:r>
          </w:p>
        </w:tc>
        <w:tc>
          <w:tcPr>
            <w:tcW w:w="164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Главный </w:t>
            </w:r>
            <w:r>
              <w:rPr>
                <w:rFonts w:ascii="Times New Roman" w:eastAsia="Times New Roman" w:hAnsi="Times New Roman" w:cs="Times New Roman"/>
                <w:sz w:val="24"/>
                <w:szCs w:val="24"/>
                <w:lang w:eastAsia="ru-RU"/>
              </w:rPr>
              <w:t>распорядитель бюджетных средств</w:t>
            </w:r>
          </w:p>
        </w:tc>
        <w:tc>
          <w:tcPr>
            <w:tcW w:w="1816"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49379E">
              <w:rPr>
                <w:rFonts w:ascii="Times New Roman" w:eastAsia="Times New Roman" w:hAnsi="Times New Roman" w:cs="Times New Roman"/>
                <w:sz w:val="24"/>
                <w:szCs w:val="24"/>
                <w:lang w:eastAsia="ru-RU"/>
              </w:rPr>
              <w:t>Источник</w:t>
            </w:r>
            <w:r w:rsidRPr="0049379E">
              <w:rPr>
                <w:rFonts w:ascii="Times New Roman" w:eastAsia="Times New Roman" w:hAnsi="Times New Roman" w:cs="Times New Roman"/>
                <w:color w:val="FFFFFF" w:themeColor="background1"/>
                <w:sz w:val="24"/>
                <w:szCs w:val="24"/>
                <w:lang w:eastAsia="ru-RU"/>
              </w:rPr>
              <w:t xml:space="preserve"> </w:t>
            </w:r>
            <w:r w:rsidRPr="0049379E">
              <w:rPr>
                <w:rFonts w:ascii="Times New Roman" w:eastAsia="Times New Roman" w:hAnsi="Times New Roman" w:cs="Times New Roman"/>
                <w:sz w:val="24"/>
                <w:szCs w:val="24"/>
                <w:lang w:eastAsia="ru-RU"/>
              </w:rPr>
              <w:t>финансирования</w:t>
            </w:r>
          </w:p>
        </w:tc>
        <w:tc>
          <w:tcPr>
            <w:tcW w:w="8080" w:type="dxa"/>
            <w:gridSpan w:val="6"/>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49379E">
              <w:rPr>
                <w:rFonts w:ascii="Times New Roman" w:eastAsia="Times New Roman" w:hAnsi="Times New Roman" w:cs="Times New Roman"/>
                <w:color w:val="FFFFFF" w:themeColor="background1"/>
                <w:sz w:val="24"/>
                <w:szCs w:val="24"/>
                <w:lang w:eastAsia="ru-RU"/>
              </w:rPr>
              <w:t>Ра</w:t>
            </w:r>
            <w:r w:rsidRPr="0049379E">
              <w:rPr>
                <w:rFonts w:ascii="Times New Roman" w:eastAsia="Times New Roman" w:hAnsi="Times New Roman" w:cs="Times New Roman"/>
                <w:sz w:val="24"/>
                <w:szCs w:val="24"/>
                <w:lang w:eastAsia="ru-RU"/>
              </w:rPr>
              <w:t xml:space="preserve"> Расходы (тыс. </w:t>
            </w:r>
            <w:proofErr w:type="gramStart"/>
            <w:r w:rsidRPr="0049379E">
              <w:rPr>
                <w:rFonts w:ascii="Times New Roman" w:eastAsia="Times New Roman" w:hAnsi="Times New Roman" w:cs="Times New Roman"/>
                <w:sz w:val="24"/>
                <w:szCs w:val="24"/>
                <w:lang w:eastAsia="ru-RU"/>
              </w:rPr>
              <w:t>рублей)</w:t>
            </w:r>
            <w:r w:rsidRPr="0049379E">
              <w:rPr>
                <w:rFonts w:ascii="Times New Roman" w:eastAsia="Times New Roman" w:hAnsi="Times New Roman" w:cs="Times New Roman"/>
                <w:color w:val="FFFFFF" w:themeColor="background1"/>
                <w:sz w:val="24"/>
                <w:szCs w:val="24"/>
                <w:lang w:eastAsia="ru-RU"/>
              </w:rPr>
              <w:t>сходы</w:t>
            </w:r>
            <w:proofErr w:type="gramEnd"/>
            <w:r w:rsidRPr="0049379E">
              <w:rPr>
                <w:rFonts w:ascii="Times New Roman" w:eastAsia="Times New Roman" w:hAnsi="Times New Roman" w:cs="Times New Roman"/>
                <w:color w:val="FFFFFF" w:themeColor="background1"/>
                <w:sz w:val="24"/>
                <w:szCs w:val="24"/>
                <w:lang w:eastAsia="ru-RU"/>
              </w:rPr>
              <w:t xml:space="preserve"> (тыс. рублей)</w:t>
            </w:r>
          </w:p>
        </w:tc>
      </w:tr>
      <w:tr w:rsidR="00BA10F5" w:rsidRPr="0049379E" w:rsidTr="000E5455">
        <w:tc>
          <w:tcPr>
            <w:tcW w:w="198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816" w:type="dxa"/>
            <w:vMerge/>
          </w:tcPr>
          <w:p w:rsidR="00BA10F5" w:rsidRPr="0049379E" w:rsidRDefault="00BA10F5" w:rsidP="000E5455">
            <w:pPr>
              <w:rPr>
                <w:rFonts w:ascii="Times New Roman" w:hAnsi="Times New Roman" w:cs="Times New Roman"/>
                <w:sz w:val="24"/>
                <w:szCs w:val="24"/>
              </w:rPr>
            </w:pPr>
          </w:p>
        </w:tc>
        <w:tc>
          <w:tcPr>
            <w:tcW w:w="1276" w:type="dxa"/>
            <w:vAlign w:val="center"/>
          </w:tcPr>
          <w:p w:rsidR="00BA10F5" w:rsidRPr="00E03027" w:rsidRDefault="00BA10F5" w:rsidP="000E54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2017</w:t>
            </w:r>
          </w:p>
        </w:tc>
        <w:tc>
          <w:tcPr>
            <w:tcW w:w="1275" w:type="dxa"/>
            <w:vAlign w:val="center"/>
          </w:tcPr>
          <w:p w:rsidR="00BA10F5" w:rsidRPr="00E03027" w:rsidRDefault="00BA10F5" w:rsidP="000E54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2018</w:t>
            </w:r>
          </w:p>
        </w:tc>
        <w:tc>
          <w:tcPr>
            <w:tcW w:w="1276" w:type="dxa"/>
            <w:vAlign w:val="center"/>
          </w:tcPr>
          <w:p w:rsidR="00BA10F5" w:rsidRPr="00E03027" w:rsidRDefault="00BA10F5" w:rsidP="000E54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2019</w:t>
            </w:r>
          </w:p>
        </w:tc>
        <w:tc>
          <w:tcPr>
            <w:tcW w:w="1276" w:type="dxa"/>
            <w:vAlign w:val="center"/>
          </w:tcPr>
          <w:p w:rsidR="00BA10F5" w:rsidRPr="00E03027" w:rsidRDefault="00BA10F5" w:rsidP="000E54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2020</w:t>
            </w:r>
          </w:p>
        </w:tc>
        <w:tc>
          <w:tcPr>
            <w:tcW w:w="1276" w:type="dxa"/>
            <w:vAlign w:val="center"/>
          </w:tcPr>
          <w:p w:rsidR="00BA10F5" w:rsidRPr="00E03027" w:rsidRDefault="00BA10F5" w:rsidP="000E54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2021</w:t>
            </w:r>
          </w:p>
        </w:tc>
        <w:tc>
          <w:tcPr>
            <w:tcW w:w="1701" w:type="dxa"/>
            <w:vAlign w:val="center"/>
          </w:tcPr>
          <w:p w:rsidR="00BA10F5" w:rsidRPr="00E03027" w:rsidRDefault="00BA10F5" w:rsidP="000E54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Итого</w:t>
            </w:r>
          </w:p>
        </w:tc>
      </w:tr>
      <w:tr w:rsidR="00BA10F5" w:rsidRPr="0049379E" w:rsidTr="000E5455">
        <w:trPr>
          <w:trHeight w:val="662"/>
        </w:trPr>
        <w:tc>
          <w:tcPr>
            <w:tcW w:w="1984" w:type="dxa"/>
            <w:vMerge/>
          </w:tcPr>
          <w:p w:rsidR="00BA10F5" w:rsidRPr="0049379E" w:rsidRDefault="00BA10F5" w:rsidP="000E5455">
            <w:pPr>
              <w:rPr>
                <w:rFonts w:ascii="Times New Roman" w:hAnsi="Times New Roman" w:cs="Times New Roman"/>
                <w:sz w:val="24"/>
                <w:szCs w:val="24"/>
              </w:rPr>
            </w:pPr>
          </w:p>
        </w:tc>
        <w:tc>
          <w:tcPr>
            <w:tcW w:w="1644" w:type="dxa"/>
            <w:vMerge w:val="restart"/>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«Обеспечение жильем молодых семей»</w:t>
            </w:r>
          </w:p>
        </w:tc>
        <w:tc>
          <w:tcPr>
            <w:tcW w:w="164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Администрация городского округа Красногорск</w:t>
            </w:r>
          </w:p>
        </w:tc>
        <w:tc>
          <w:tcPr>
            <w:tcW w:w="1816" w:type="dxa"/>
            <w:vAlign w:val="center"/>
          </w:tcPr>
          <w:p w:rsidR="00BA10F5" w:rsidRPr="00580372"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Всего:</w:t>
            </w:r>
          </w:p>
          <w:p w:rsidR="00BA10F5" w:rsidRPr="00580372"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в том числе:</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30 043,62</w:t>
            </w:r>
          </w:p>
        </w:tc>
        <w:tc>
          <w:tcPr>
            <w:tcW w:w="1275"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23 744,8</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38 331</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39 307</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38 913</w:t>
            </w:r>
          </w:p>
        </w:tc>
        <w:tc>
          <w:tcPr>
            <w:tcW w:w="1701"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170 339,42</w:t>
            </w:r>
          </w:p>
        </w:tc>
      </w:tr>
      <w:tr w:rsidR="00BA10F5" w:rsidRPr="0049379E" w:rsidTr="000E5455">
        <w:trPr>
          <w:trHeight w:val="589"/>
        </w:trPr>
        <w:tc>
          <w:tcPr>
            <w:tcW w:w="198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816" w:type="dxa"/>
            <w:vAlign w:val="center"/>
          </w:tcPr>
          <w:p w:rsidR="00BA10F5" w:rsidRPr="00580372" w:rsidRDefault="00BA10F5" w:rsidP="000E5455">
            <w:pPr>
              <w:widowControl w:val="0"/>
              <w:autoSpaceDE w:val="0"/>
              <w:autoSpaceDN w:val="0"/>
              <w:spacing w:after="0" w:line="240" w:lineRule="auto"/>
              <w:rPr>
                <w:rFonts w:ascii="Times New Roman" w:eastAsia="Times New Roman" w:hAnsi="Times New Roman" w:cs="Times New Roman"/>
                <w:b/>
                <w:lang w:eastAsia="ru-RU"/>
              </w:rPr>
            </w:pPr>
            <w:r w:rsidRPr="00580372">
              <w:rPr>
                <w:rFonts w:ascii="Times New Roman" w:eastAsia="Times New Roman" w:hAnsi="Times New Roman" w:cs="Times New Roman"/>
                <w:lang w:eastAsia="ru-RU"/>
              </w:rPr>
              <w:t>Средства бюджетов поселений</w:t>
            </w:r>
            <w:r>
              <w:rPr>
                <w:rFonts w:ascii="Times New Roman" w:eastAsia="Times New Roman" w:hAnsi="Times New Roman" w:cs="Times New Roman"/>
                <w:lang w:eastAsia="ru-RU"/>
              </w:rPr>
              <w:t xml:space="preserve"> *</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30 043,62</w:t>
            </w:r>
          </w:p>
        </w:tc>
        <w:tc>
          <w:tcPr>
            <w:tcW w:w="1275"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701"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30 043,62</w:t>
            </w:r>
          </w:p>
        </w:tc>
      </w:tr>
      <w:tr w:rsidR="00BA10F5" w:rsidRPr="0049379E" w:rsidTr="000E5455">
        <w:tc>
          <w:tcPr>
            <w:tcW w:w="198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816" w:type="dxa"/>
            <w:vAlign w:val="center"/>
          </w:tcPr>
          <w:p w:rsidR="00BA10F5" w:rsidRPr="00580372"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Средства бюджета городского округа</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8 067</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13 288</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14 264</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13 870</w:t>
            </w:r>
          </w:p>
        </w:tc>
        <w:tc>
          <w:tcPr>
            <w:tcW w:w="1701"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49 489</w:t>
            </w:r>
          </w:p>
        </w:tc>
      </w:tr>
      <w:tr w:rsidR="00BA10F5" w:rsidRPr="0049379E" w:rsidTr="000E5455">
        <w:tc>
          <w:tcPr>
            <w:tcW w:w="198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816" w:type="dxa"/>
            <w:vAlign w:val="center"/>
          </w:tcPr>
          <w:p w:rsidR="00BA10F5" w:rsidRPr="00580372"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Средства бюджета Московской области</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11 794,3</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13 870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13 870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13 870</w:t>
            </w:r>
          </w:p>
        </w:tc>
        <w:tc>
          <w:tcPr>
            <w:tcW w:w="1701"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r w:rsidRPr="00580372">
              <w:rPr>
                <w:rFonts w:ascii="Times New Roman" w:eastAsia="Times New Roman" w:hAnsi="Times New Roman" w:cs="Times New Roman"/>
                <w:b/>
                <w:lang w:eastAsia="ru-RU"/>
              </w:rPr>
              <w:t> </w:t>
            </w:r>
            <w:r>
              <w:rPr>
                <w:rFonts w:ascii="Times New Roman" w:eastAsia="Times New Roman" w:hAnsi="Times New Roman" w:cs="Times New Roman"/>
                <w:b/>
                <w:lang w:eastAsia="ru-RU"/>
              </w:rPr>
              <w:t>404</w:t>
            </w:r>
            <w:r w:rsidRPr="00580372">
              <w:rPr>
                <w:rFonts w:ascii="Times New Roman" w:eastAsia="Times New Roman" w:hAnsi="Times New Roman" w:cs="Times New Roman"/>
                <w:b/>
                <w:lang w:eastAsia="ru-RU"/>
              </w:rPr>
              <w:t>,3</w:t>
            </w:r>
          </w:p>
        </w:tc>
      </w:tr>
      <w:tr w:rsidR="00BA10F5" w:rsidRPr="0049379E" w:rsidTr="000E5455">
        <w:tc>
          <w:tcPr>
            <w:tcW w:w="198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816" w:type="dxa"/>
            <w:vAlign w:val="center"/>
          </w:tcPr>
          <w:p w:rsidR="00BA10F5" w:rsidRPr="00580372"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Средства федерального бюджета</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3 883,5</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11 173</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11 173</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11 173</w:t>
            </w:r>
          </w:p>
        </w:tc>
        <w:tc>
          <w:tcPr>
            <w:tcW w:w="1701"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37 402,5</w:t>
            </w:r>
          </w:p>
        </w:tc>
      </w:tr>
      <w:tr w:rsidR="00BA10F5" w:rsidRPr="0049379E" w:rsidTr="000E5455">
        <w:tc>
          <w:tcPr>
            <w:tcW w:w="198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644" w:type="dxa"/>
            <w:vMerge/>
          </w:tcPr>
          <w:p w:rsidR="00BA10F5" w:rsidRPr="0049379E" w:rsidRDefault="00BA10F5" w:rsidP="000E5455">
            <w:pPr>
              <w:rPr>
                <w:rFonts w:ascii="Times New Roman" w:hAnsi="Times New Roman" w:cs="Times New Roman"/>
                <w:sz w:val="24"/>
                <w:szCs w:val="24"/>
              </w:rPr>
            </w:pPr>
          </w:p>
        </w:tc>
        <w:tc>
          <w:tcPr>
            <w:tcW w:w="1816" w:type="dxa"/>
            <w:vAlign w:val="center"/>
          </w:tcPr>
          <w:p w:rsidR="00BA10F5" w:rsidRPr="00580372"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Внебюджетные источники</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701" w:type="dxa"/>
            <w:vAlign w:val="center"/>
          </w:tcPr>
          <w:p w:rsidR="00BA10F5" w:rsidRPr="00580372"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0</w:t>
            </w:r>
          </w:p>
        </w:tc>
      </w:tr>
    </w:tbl>
    <w:p w:rsidR="00BA10F5" w:rsidRPr="00EB33D7" w:rsidRDefault="00BA10F5" w:rsidP="00BA10F5">
      <w:pPr>
        <w:spacing w:after="0" w:line="360" w:lineRule="auto"/>
        <w:jc w:val="center"/>
        <w:rPr>
          <w:rFonts w:ascii="Times New Roman" w:hAnsi="Times New Roman" w:cs="Times New Roman"/>
          <w:b/>
          <w:color w:val="1D1B11"/>
          <w:sz w:val="24"/>
          <w:szCs w:val="24"/>
        </w:rPr>
      </w:pPr>
    </w:p>
    <w:p w:rsidR="00BA10F5" w:rsidRDefault="00BA10F5" w:rsidP="000E5455">
      <w:pPr>
        <w:spacing w:after="0" w:line="360" w:lineRule="auto"/>
        <w:rPr>
          <w:rFonts w:ascii="Times New Roman" w:hAnsi="Times New Roman" w:cs="Times New Roman"/>
          <w:b/>
          <w:color w:val="1D1B11"/>
          <w:sz w:val="28"/>
          <w:szCs w:val="28"/>
        </w:rPr>
      </w:pPr>
      <w:r>
        <w:rPr>
          <w:rFonts w:ascii="Times New Roman" w:hAnsi="Times New Roman" w:cs="Times New Roman"/>
          <w:sz w:val="18"/>
          <w:szCs w:val="18"/>
        </w:rPr>
        <w:t xml:space="preserve">*   </w:t>
      </w:r>
      <w:r>
        <w:rPr>
          <w:rFonts w:ascii="Times New Roman" w:hAnsi="Times New Roman" w:cs="Times New Roman"/>
          <w:bCs/>
          <w:sz w:val="18"/>
          <w:szCs w:val="18"/>
        </w:rPr>
        <w:t>Средства предусмотрены в муниципальных программах поселений Красногорского муниципального района и реализуются поселениями самостоятельно.</w:t>
      </w:r>
      <w:r w:rsidRPr="0049379E">
        <w:rPr>
          <w:rFonts w:ascii="Times New Roman" w:hAnsi="Times New Roman" w:cs="Times New Roman"/>
          <w:b/>
          <w:color w:val="1D1B11"/>
          <w:sz w:val="28"/>
          <w:szCs w:val="28"/>
        </w:rPr>
        <w:br w:type="page"/>
      </w:r>
    </w:p>
    <w:p w:rsidR="00BA10F5" w:rsidRPr="0049379E" w:rsidRDefault="00BA10F5" w:rsidP="00BA10F5">
      <w:pPr>
        <w:spacing w:after="120"/>
        <w:jc w:val="center"/>
        <w:rPr>
          <w:rFonts w:ascii="Times New Roman" w:hAnsi="Times New Roman" w:cs="Times New Roman"/>
          <w:b/>
          <w:color w:val="1D1B11"/>
          <w:sz w:val="28"/>
          <w:szCs w:val="28"/>
        </w:rPr>
      </w:pPr>
      <w:r w:rsidRPr="0049379E">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Подпрограммы </w:t>
      </w:r>
      <w:r w:rsidRPr="0049379E">
        <w:rPr>
          <w:rFonts w:ascii="Times New Roman" w:hAnsi="Times New Roman" w:cs="Times New Roman"/>
          <w:b/>
          <w:color w:val="1D1B11"/>
          <w:sz w:val="28"/>
          <w:szCs w:val="28"/>
          <w:lang w:val="en-US"/>
        </w:rPr>
        <w:t>III</w:t>
      </w:r>
    </w:p>
    <w:p w:rsidR="00BA10F5" w:rsidRPr="0049379E" w:rsidRDefault="00BA10F5" w:rsidP="00BA10F5">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rsidR="00BA10F5" w:rsidRPr="0049379E" w:rsidRDefault="00BA10F5" w:rsidP="00BA10F5">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 полная семья, состоящая из одного молодого родителя, возраст которого не превышает 35 лет и одного и более детей. </w:t>
      </w:r>
    </w:p>
    <w:p w:rsidR="00BA10F5" w:rsidRPr="0049379E" w:rsidRDefault="00BA10F5" w:rsidP="00BA10F5">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rsidR="00BA10F5" w:rsidRPr="0049379E" w:rsidRDefault="00BA10F5" w:rsidP="00BA10F5">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BA10F5" w:rsidRPr="0049379E" w:rsidRDefault="00BA10F5" w:rsidP="00BA10F5">
      <w:pPr>
        <w:spacing w:after="0" w:line="240" w:lineRule="auto"/>
        <w:ind w:left="360"/>
        <w:jc w:val="both"/>
        <w:rPr>
          <w:rFonts w:ascii="Times New Roman" w:hAnsi="Times New Roman" w:cs="Times New Roman"/>
          <w:sz w:val="28"/>
          <w:szCs w:val="28"/>
        </w:rPr>
      </w:pPr>
      <w:r w:rsidRPr="0049379E">
        <w:rPr>
          <w:rFonts w:ascii="Times New Roman" w:hAnsi="Times New Roman" w:cs="Times New Roman"/>
          <w:sz w:val="28"/>
          <w:szCs w:val="28"/>
        </w:rPr>
        <w:t xml:space="preserve">Основными принципами реализации Подпрограммы </w:t>
      </w:r>
      <w:r w:rsidRPr="0049379E">
        <w:rPr>
          <w:rFonts w:ascii="Times New Roman" w:hAnsi="Times New Roman" w:cs="Times New Roman"/>
          <w:sz w:val="28"/>
          <w:szCs w:val="28"/>
          <w:lang w:val="en-US"/>
        </w:rPr>
        <w:t>III</w:t>
      </w:r>
      <w:r w:rsidRPr="0049379E">
        <w:rPr>
          <w:rFonts w:ascii="Times New Roman" w:hAnsi="Times New Roman" w:cs="Times New Roman"/>
          <w:sz w:val="28"/>
          <w:szCs w:val="28"/>
        </w:rPr>
        <w:t xml:space="preserve"> являются:</w:t>
      </w:r>
    </w:p>
    <w:p w:rsidR="00BA10F5" w:rsidRPr="0049379E" w:rsidRDefault="00BA10F5" w:rsidP="00BA10F5">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добровольность участия в Подпрограмме молодых семей;</w:t>
      </w:r>
    </w:p>
    <w:p w:rsidR="00BA10F5" w:rsidRPr="0049379E" w:rsidRDefault="00BA10F5" w:rsidP="00BA10F5">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p>
    <w:p w:rsidR="00BA10F5" w:rsidRPr="0049379E" w:rsidRDefault="00BA10F5" w:rsidP="00BA10F5">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rsidR="00BA10F5" w:rsidRPr="0049379E" w:rsidRDefault="00BA10F5" w:rsidP="00BA10F5">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rsidR="00BA10F5" w:rsidRPr="0049379E" w:rsidRDefault="00BA10F5" w:rsidP="00BA10F5">
      <w:pPr>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 xml:space="preserve">Условиями прекращения реализации Подпрограммы </w:t>
      </w:r>
      <w:r w:rsidRPr="0049379E">
        <w:rPr>
          <w:rFonts w:ascii="Times New Roman" w:eastAsia="Times New Roman" w:hAnsi="Times New Roman" w:cs="Times New Roman"/>
          <w:sz w:val="28"/>
          <w:szCs w:val="28"/>
          <w:lang w:val="en-US" w:eastAsia="ru-RU"/>
        </w:rPr>
        <w:t>III</w:t>
      </w:r>
      <w:r w:rsidRPr="0049379E">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rsidR="00BA10F5" w:rsidRPr="0049379E" w:rsidRDefault="00BA10F5" w:rsidP="00BA10F5">
      <w:pPr>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Участники Подпрограммы</w:t>
      </w:r>
      <w:r w:rsidRPr="0049379E">
        <w:rPr>
          <w:rFonts w:ascii="Times New Roman" w:eastAsia="Times New Roman" w:hAnsi="Times New Roman" w:cs="Times New Roman"/>
          <w:sz w:val="28"/>
          <w:szCs w:val="28"/>
          <w:lang w:val="en-US" w:eastAsia="ru-RU"/>
        </w:rPr>
        <w:t xml:space="preserve"> III</w:t>
      </w:r>
      <w:r w:rsidRPr="0049379E">
        <w:rPr>
          <w:rFonts w:ascii="Times New Roman" w:eastAsia="Times New Roman" w:hAnsi="Times New Roman" w:cs="Times New Roman"/>
          <w:sz w:val="28"/>
          <w:szCs w:val="28"/>
          <w:lang w:eastAsia="ru-RU"/>
        </w:rPr>
        <w:t>.</w:t>
      </w:r>
    </w:p>
    <w:p w:rsidR="00BA10F5" w:rsidRPr="0049379E" w:rsidRDefault="00BA10F5" w:rsidP="00BA10F5">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BA10F5" w:rsidRPr="0049379E" w:rsidRDefault="00BA10F5" w:rsidP="00BA10F5">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молодая семья, признанная нуждающейся в улучшении жилищных условий в порядке в соответствии с законодательством Российской Федерации.</w:t>
      </w:r>
    </w:p>
    <w:p w:rsidR="00BA10F5" w:rsidRPr="0049379E" w:rsidRDefault="00BA10F5" w:rsidP="00BA10F5">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rsidR="00BA10F5" w:rsidRPr="0049379E" w:rsidRDefault="00BA10F5" w:rsidP="00BA10F5">
      <w:pPr>
        <w:widowControl w:val="0"/>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 городск</w:t>
      </w:r>
      <w:r>
        <w:rPr>
          <w:rFonts w:ascii="Times New Roman" w:hAnsi="Times New Roman" w:cs="Times New Roman"/>
          <w:sz w:val="28"/>
          <w:szCs w:val="28"/>
        </w:rPr>
        <w:t>ого округа Красногорск.</w:t>
      </w:r>
    </w:p>
    <w:p w:rsidR="00BA10F5" w:rsidRPr="0049379E" w:rsidRDefault="00BA10F5" w:rsidP="00BA10F5">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 xml:space="preserve">Социальная выплата предоставляется на приобретение у любых физических (за исключением близких </w:t>
      </w:r>
      <w:proofErr w:type="spellStart"/>
      <w:r w:rsidRPr="0049379E">
        <w:rPr>
          <w:rFonts w:ascii="Times New Roman" w:hAnsi="Times New Roman" w:cs="Times New Roman"/>
          <w:sz w:val="28"/>
          <w:szCs w:val="28"/>
        </w:rPr>
        <w:t>родсквенников</w:t>
      </w:r>
      <w:proofErr w:type="spellEnd"/>
      <w:r w:rsidRPr="0049379E">
        <w:rPr>
          <w:rFonts w:ascii="Times New Roman" w:hAnsi="Times New Roman" w:cs="Times New Roman"/>
          <w:sz w:val="28"/>
          <w:szCs w:val="28"/>
        </w:rPr>
        <w:t xml:space="preserve"> (супруга (супруги), дедушки (бабушки), внуков, родителей (в том числе усыновителей), детей (в том числе усыновленных), полнородных братьев сестер), и (или) юридических лиц жилого помещения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BA10F5" w:rsidRPr="0049379E" w:rsidRDefault="00BA10F5" w:rsidP="00BA10F5">
      <w:pPr>
        <w:spacing w:before="27" w:after="0" w:line="240" w:lineRule="auto"/>
        <w:ind w:firstLine="54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w:t>
      </w:r>
    </w:p>
    <w:p w:rsidR="00BA10F5" w:rsidRPr="0049379E" w:rsidRDefault="00BA10F5" w:rsidP="00BA10F5">
      <w:pPr>
        <w:spacing w:before="27" w:after="0" w:line="240" w:lineRule="auto"/>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rsidR="00BA10F5" w:rsidRPr="0049379E" w:rsidRDefault="00BA10F5" w:rsidP="00BA10F5">
      <w:pPr>
        <w:spacing w:before="27" w:after="0" w:line="240" w:lineRule="auto"/>
        <w:ind w:firstLine="36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49379E">
          <w:rPr>
            <w:rFonts w:ascii="Times New Roman" w:hAnsi="Times New Roman" w:cs="Times New Roman"/>
            <w:color w:val="000000"/>
            <w:sz w:val="28"/>
            <w:szCs w:val="28"/>
          </w:rPr>
          <w:t>42 кв. м</w:t>
        </w:r>
      </w:smartTag>
      <w:r w:rsidRPr="0049379E">
        <w:rPr>
          <w:rFonts w:ascii="Times New Roman" w:hAnsi="Times New Roman" w:cs="Times New Roman"/>
          <w:color w:val="000000"/>
          <w:sz w:val="28"/>
          <w:szCs w:val="28"/>
        </w:rPr>
        <w:t xml:space="preserve">; </w:t>
      </w:r>
    </w:p>
    <w:p w:rsidR="00BA10F5" w:rsidRPr="0049379E" w:rsidRDefault="00BA10F5" w:rsidP="00BA10F5">
      <w:pPr>
        <w:spacing w:before="27" w:after="0" w:line="240" w:lineRule="auto"/>
        <w:ind w:firstLine="36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49379E">
          <w:rPr>
            <w:rFonts w:ascii="Times New Roman" w:hAnsi="Times New Roman" w:cs="Times New Roman"/>
            <w:color w:val="000000"/>
            <w:sz w:val="28"/>
            <w:szCs w:val="28"/>
          </w:rPr>
          <w:t>18 кв. м</w:t>
        </w:r>
      </w:smartTag>
      <w:r w:rsidRPr="0049379E">
        <w:rPr>
          <w:rFonts w:ascii="Times New Roman" w:hAnsi="Times New Roman" w:cs="Times New Roman"/>
          <w:color w:val="000000"/>
          <w:sz w:val="28"/>
          <w:szCs w:val="28"/>
        </w:rPr>
        <w:t xml:space="preserve"> на каждого члена семьи. </w:t>
      </w:r>
    </w:p>
    <w:p w:rsidR="00BA10F5" w:rsidRPr="0049379E" w:rsidRDefault="00BA10F5" w:rsidP="00BA10F5">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w:t>
      </w:r>
      <w:r w:rsidRPr="0049379E">
        <w:rPr>
          <w:rFonts w:ascii="Times New Roman" w:hAnsi="Times New Roman" w:cs="Times New Roman"/>
          <w:sz w:val="28"/>
          <w:szCs w:val="28"/>
        </w:rPr>
        <w:lastRenderedPageBreak/>
        <w:t xml:space="preserve">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49379E">
        <w:rPr>
          <w:rFonts w:ascii="Times New Roman" w:hAnsi="Times New Roman" w:cs="Times New Roman"/>
          <w:sz w:val="28"/>
          <w:szCs w:val="28"/>
          <w:lang w:val="en-US"/>
        </w:rPr>
        <w:t>III</w:t>
      </w:r>
      <w:r w:rsidRPr="0049379E">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w:t>
      </w:r>
      <w:r>
        <w:rPr>
          <w:rFonts w:ascii="Times New Roman" w:hAnsi="Times New Roman" w:cs="Times New Roman"/>
          <w:sz w:val="28"/>
          <w:szCs w:val="28"/>
        </w:rPr>
        <w:t>у</w:t>
      </w:r>
      <w:r w:rsidRPr="0049379E">
        <w:rPr>
          <w:rFonts w:ascii="Times New Roman" w:hAnsi="Times New Roman" w:cs="Times New Roman"/>
          <w:sz w:val="28"/>
          <w:szCs w:val="28"/>
        </w:rPr>
        <w:t xml:space="preserve"> городск</w:t>
      </w:r>
      <w:r>
        <w:rPr>
          <w:rFonts w:ascii="Times New Roman" w:hAnsi="Times New Roman" w:cs="Times New Roman"/>
          <w:sz w:val="28"/>
          <w:szCs w:val="28"/>
        </w:rPr>
        <w:t>ого</w:t>
      </w:r>
      <w:r w:rsidRPr="0049379E">
        <w:rPr>
          <w:rFonts w:ascii="Times New Roman" w:hAnsi="Times New Roman" w:cs="Times New Roman"/>
          <w:sz w:val="28"/>
          <w:szCs w:val="28"/>
        </w:rPr>
        <w:t xml:space="preserve"> </w:t>
      </w:r>
      <w:r>
        <w:rPr>
          <w:rFonts w:ascii="Times New Roman" w:hAnsi="Times New Roman" w:cs="Times New Roman"/>
          <w:sz w:val="28"/>
          <w:szCs w:val="28"/>
        </w:rPr>
        <w:t>округа Красногорск</w:t>
      </w:r>
      <w:r w:rsidRPr="0049379E">
        <w:rPr>
          <w:rFonts w:ascii="Times New Roman" w:hAnsi="Times New Roman" w:cs="Times New Roman"/>
          <w:sz w:val="28"/>
          <w:szCs w:val="28"/>
        </w:rPr>
        <w:t xml:space="preserve"> на реализацию Подпрограммы устанавливаются и определяются в соответствии с правилами, утвержденными федеральной и областной подпрограммами.</w:t>
      </w:r>
    </w:p>
    <w:p w:rsidR="00BA10F5" w:rsidRPr="0049379E" w:rsidRDefault="00BA10F5" w:rsidP="00BA10F5">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rsidR="00BA10F5" w:rsidRPr="0049379E" w:rsidRDefault="00BA10F5" w:rsidP="00BA10F5">
      <w:p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p>
    <w:p w:rsidR="00BA10F5" w:rsidRPr="0049379E" w:rsidRDefault="00BA10F5" w:rsidP="00BA10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10F5" w:rsidRPr="0049379E" w:rsidRDefault="00BA10F5" w:rsidP="00BA10F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lastRenderedPageBreak/>
        <w:t xml:space="preserve">Перечень мероприятий подпрограммы </w:t>
      </w:r>
      <w:r w:rsidRPr="0049379E">
        <w:rPr>
          <w:rFonts w:ascii="Times New Roman" w:eastAsia="Times New Roman" w:hAnsi="Times New Roman" w:cs="Times New Roman"/>
          <w:b/>
          <w:sz w:val="28"/>
          <w:szCs w:val="28"/>
          <w:lang w:val="en-US" w:eastAsia="ru-RU"/>
        </w:rPr>
        <w:t>III</w:t>
      </w:r>
      <w:r w:rsidRPr="0049379E">
        <w:rPr>
          <w:rFonts w:ascii="Times New Roman" w:eastAsia="Times New Roman" w:hAnsi="Times New Roman" w:cs="Times New Roman"/>
          <w:b/>
          <w:sz w:val="28"/>
          <w:szCs w:val="28"/>
          <w:lang w:eastAsia="ru-RU"/>
        </w:rPr>
        <w:t xml:space="preserve"> </w:t>
      </w:r>
    </w:p>
    <w:tbl>
      <w:tblPr>
        <w:tblW w:w="150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549"/>
        <w:gridCol w:w="861"/>
        <w:gridCol w:w="1418"/>
        <w:gridCol w:w="1275"/>
        <w:gridCol w:w="1276"/>
        <w:gridCol w:w="1201"/>
        <w:gridCol w:w="992"/>
        <w:gridCol w:w="992"/>
        <w:gridCol w:w="992"/>
        <w:gridCol w:w="992"/>
        <w:gridCol w:w="1560"/>
        <w:gridCol w:w="1116"/>
      </w:tblGrid>
      <w:tr w:rsidR="00BA10F5" w:rsidRPr="0049379E" w:rsidTr="00BA10F5">
        <w:tc>
          <w:tcPr>
            <w:tcW w:w="784" w:type="dxa"/>
            <w:vMerge w:val="restart"/>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N п/п</w:t>
            </w:r>
          </w:p>
        </w:tc>
        <w:tc>
          <w:tcPr>
            <w:tcW w:w="1549" w:type="dxa"/>
            <w:vMerge w:val="restart"/>
          </w:tcPr>
          <w:p w:rsidR="00BA10F5" w:rsidRPr="0049379E" w:rsidRDefault="00BA10F5" w:rsidP="00BA10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Мероприятия </w:t>
            </w:r>
          </w:p>
        </w:tc>
        <w:tc>
          <w:tcPr>
            <w:tcW w:w="861" w:type="dxa"/>
            <w:vMerge w:val="restart"/>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Сроки исполнения мероприятий</w:t>
            </w:r>
          </w:p>
        </w:tc>
        <w:tc>
          <w:tcPr>
            <w:tcW w:w="1418" w:type="dxa"/>
            <w:vMerge w:val="restart"/>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Источники финансирования</w:t>
            </w:r>
          </w:p>
        </w:tc>
        <w:tc>
          <w:tcPr>
            <w:tcW w:w="1275" w:type="dxa"/>
            <w:vMerge w:val="restart"/>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Объем финансирования мероприятия в 2016 году (тыс. руб.) </w:t>
            </w:r>
          </w:p>
        </w:tc>
        <w:tc>
          <w:tcPr>
            <w:tcW w:w="1276" w:type="dxa"/>
            <w:vMerge w:val="restart"/>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Всего (тыс. руб.)</w:t>
            </w:r>
          </w:p>
        </w:tc>
        <w:tc>
          <w:tcPr>
            <w:tcW w:w="5169" w:type="dxa"/>
            <w:gridSpan w:val="5"/>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Объем финансирования по годам (тыс. руб.)</w:t>
            </w:r>
          </w:p>
        </w:tc>
        <w:tc>
          <w:tcPr>
            <w:tcW w:w="1560" w:type="dxa"/>
            <w:vMerge w:val="restart"/>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Ответственный за выполнение мероприятия программы/подпрограммы</w:t>
            </w:r>
          </w:p>
        </w:tc>
        <w:tc>
          <w:tcPr>
            <w:tcW w:w="1116" w:type="dxa"/>
            <w:vMerge w:val="restart"/>
          </w:tcPr>
          <w:p w:rsidR="00BA10F5" w:rsidRPr="0049379E" w:rsidRDefault="00BA10F5" w:rsidP="000E5455">
            <w:pPr>
              <w:widowControl w:val="0"/>
              <w:autoSpaceDE w:val="0"/>
              <w:autoSpaceDN w:val="0"/>
              <w:spacing w:after="0" w:line="240" w:lineRule="auto"/>
              <w:ind w:right="221"/>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Результаты </w:t>
            </w:r>
          </w:p>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выполнения</w:t>
            </w:r>
          </w:p>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мероприятий  подпрограммы</w:t>
            </w:r>
            <w:proofErr w:type="gramEnd"/>
            <w:r>
              <w:rPr>
                <w:rFonts w:ascii="Times New Roman" w:eastAsia="Times New Roman" w:hAnsi="Times New Roman" w:cs="Times New Roman"/>
                <w:sz w:val="24"/>
                <w:szCs w:val="24"/>
                <w:lang w:eastAsia="ru-RU"/>
              </w:rPr>
              <w:t xml:space="preserve"> </w:t>
            </w: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vMerge/>
          </w:tcPr>
          <w:p w:rsidR="00BA10F5" w:rsidRPr="0049379E" w:rsidRDefault="00BA10F5" w:rsidP="000E5455">
            <w:pPr>
              <w:rPr>
                <w:rFonts w:ascii="Times New Roman" w:hAnsi="Times New Roman" w:cs="Times New Roman"/>
                <w:sz w:val="24"/>
                <w:szCs w:val="24"/>
              </w:rPr>
            </w:pPr>
          </w:p>
        </w:tc>
        <w:tc>
          <w:tcPr>
            <w:tcW w:w="1275" w:type="dxa"/>
            <w:vMerge/>
          </w:tcPr>
          <w:p w:rsidR="00BA10F5" w:rsidRPr="0049379E" w:rsidRDefault="00BA10F5" w:rsidP="000E5455">
            <w:pPr>
              <w:rPr>
                <w:rFonts w:ascii="Times New Roman" w:hAnsi="Times New Roman" w:cs="Times New Roman"/>
                <w:sz w:val="24"/>
                <w:szCs w:val="24"/>
              </w:rPr>
            </w:pPr>
          </w:p>
        </w:tc>
        <w:tc>
          <w:tcPr>
            <w:tcW w:w="1276" w:type="dxa"/>
            <w:vMerge/>
          </w:tcPr>
          <w:p w:rsidR="00BA10F5" w:rsidRPr="0049379E" w:rsidRDefault="00BA10F5" w:rsidP="000E5455">
            <w:pPr>
              <w:rPr>
                <w:rFonts w:ascii="Times New Roman" w:hAnsi="Times New Roman" w:cs="Times New Roman"/>
                <w:sz w:val="24"/>
                <w:szCs w:val="24"/>
              </w:rPr>
            </w:pPr>
          </w:p>
        </w:tc>
        <w:tc>
          <w:tcPr>
            <w:tcW w:w="1201"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2018</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2019</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2020</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2021</w:t>
            </w:r>
          </w:p>
        </w:tc>
        <w:tc>
          <w:tcPr>
            <w:tcW w:w="1560" w:type="dxa"/>
            <w:vMerge/>
          </w:tcPr>
          <w:p w:rsidR="00BA10F5" w:rsidRPr="0049379E" w:rsidRDefault="00BA10F5" w:rsidP="000E5455">
            <w:pPr>
              <w:rPr>
                <w:rFonts w:ascii="Times New Roman" w:hAnsi="Times New Roman" w:cs="Times New Roman"/>
                <w:sz w:val="24"/>
                <w:szCs w:val="24"/>
              </w:rPr>
            </w:pPr>
          </w:p>
        </w:tc>
        <w:tc>
          <w:tcPr>
            <w:tcW w:w="1116" w:type="dxa"/>
            <w:vMerge/>
          </w:tcPr>
          <w:p w:rsidR="00BA10F5" w:rsidRPr="0049379E" w:rsidRDefault="00BA10F5" w:rsidP="000E5455">
            <w:pPr>
              <w:rPr>
                <w:rFonts w:ascii="Times New Roman" w:hAnsi="Times New Roman" w:cs="Times New Roman"/>
                <w:sz w:val="24"/>
                <w:szCs w:val="24"/>
              </w:rPr>
            </w:pPr>
          </w:p>
        </w:tc>
      </w:tr>
      <w:tr w:rsidR="00BA10F5" w:rsidRPr="0049379E" w:rsidTr="00BA10F5">
        <w:tc>
          <w:tcPr>
            <w:tcW w:w="784"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549"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w:t>
            </w:r>
          </w:p>
        </w:tc>
        <w:tc>
          <w:tcPr>
            <w:tcW w:w="861"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3</w:t>
            </w:r>
          </w:p>
        </w:tc>
        <w:tc>
          <w:tcPr>
            <w:tcW w:w="1418"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w:t>
            </w:r>
          </w:p>
        </w:tc>
        <w:tc>
          <w:tcPr>
            <w:tcW w:w="1275"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5</w:t>
            </w:r>
          </w:p>
        </w:tc>
        <w:tc>
          <w:tcPr>
            <w:tcW w:w="1276"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6</w:t>
            </w:r>
          </w:p>
        </w:tc>
        <w:tc>
          <w:tcPr>
            <w:tcW w:w="1201"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7</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8</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9</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w:t>
            </w:r>
          </w:p>
        </w:tc>
        <w:tc>
          <w:tcPr>
            <w:tcW w:w="992"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w:t>
            </w:r>
          </w:p>
        </w:tc>
        <w:tc>
          <w:tcPr>
            <w:tcW w:w="1560"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w:t>
            </w:r>
          </w:p>
        </w:tc>
        <w:tc>
          <w:tcPr>
            <w:tcW w:w="1116" w:type="dxa"/>
          </w:tcPr>
          <w:p w:rsidR="00BA10F5" w:rsidRPr="0049379E" w:rsidRDefault="00BA10F5" w:rsidP="000E54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w:t>
            </w:r>
          </w:p>
        </w:tc>
      </w:tr>
      <w:tr w:rsidR="00BA10F5" w:rsidRPr="0049379E" w:rsidTr="00BA10F5">
        <w:trPr>
          <w:trHeight w:val="567"/>
        </w:trPr>
        <w:tc>
          <w:tcPr>
            <w:tcW w:w="78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549" w:type="dxa"/>
            <w:vMerge w:val="restart"/>
          </w:tcPr>
          <w:p w:rsidR="00BA10F5" w:rsidRPr="00366914" w:rsidRDefault="00BA10F5" w:rsidP="000E5455">
            <w:pPr>
              <w:rPr>
                <w:rFonts w:ascii="Times New Roman" w:eastAsia="Calibri" w:hAnsi="Times New Roman" w:cs="Times New Roman"/>
                <w:b/>
              </w:rPr>
            </w:pPr>
            <w:r w:rsidRPr="00366914">
              <w:rPr>
                <w:rFonts w:ascii="Times New Roman" w:eastAsia="Calibri" w:hAnsi="Times New Roman" w:cs="Times New Roman"/>
                <w:b/>
              </w:rPr>
              <w:t>Основное мероприятие 1</w:t>
            </w:r>
          </w:p>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жилого помещения или строительство индивидуального жилого дома</w:t>
            </w:r>
          </w:p>
        </w:tc>
        <w:tc>
          <w:tcPr>
            <w:tcW w:w="861"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Итого: </w:t>
            </w:r>
          </w:p>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 том числе:</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26928,</w:t>
            </w:r>
            <w:r>
              <w:rPr>
                <w:rFonts w:ascii="Times New Roman" w:eastAsia="Times New Roman" w:hAnsi="Times New Roman" w:cs="Times New Roman"/>
                <w:lang w:eastAsia="ru-RU"/>
              </w:rPr>
              <w:t>8</w:t>
            </w:r>
            <w:r w:rsidRPr="00141CF3">
              <w:rPr>
                <w:rFonts w:ascii="Times New Roman" w:eastAsia="Times New Roman" w:hAnsi="Times New Roman" w:cs="Times New Roman"/>
                <w:lang w:eastAsia="ru-RU"/>
              </w:rPr>
              <w:t>73</w:t>
            </w:r>
          </w:p>
        </w:tc>
        <w:tc>
          <w:tcPr>
            <w:tcW w:w="1276" w:type="dxa"/>
            <w:vAlign w:val="center"/>
          </w:tcPr>
          <w:p w:rsidR="00BA10F5" w:rsidRPr="00141CF3" w:rsidRDefault="002E3214"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169 946,42</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30 043,62</w:t>
            </w:r>
          </w:p>
        </w:tc>
        <w:tc>
          <w:tcPr>
            <w:tcW w:w="992" w:type="dxa"/>
            <w:vAlign w:val="center"/>
          </w:tcPr>
          <w:p w:rsidR="00BA10F5" w:rsidRPr="00141CF3" w:rsidRDefault="00BA10F5" w:rsidP="002E3214">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23</w:t>
            </w:r>
            <w:r w:rsidR="002E3214">
              <w:rPr>
                <w:rFonts w:ascii="Times New Roman" w:eastAsia="Times New Roman" w:hAnsi="Times New Roman" w:cs="Times New Roman"/>
                <w:b/>
                <w:lang w:eastAsia="ru-RU"/>
              </w:rPr>
              <w:t> 351,8</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38 331</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39 307</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38 913</w:t>
            </w:r>
          </w:p>
        </w:tc>
        <w:tc>
          <w:tcPr>
            <w:tcW w:w="1560" w:type="dxa"/>
            <w:vMerge w:val="restart"/>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116"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876"/>
        </w:trPr>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 *</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25386,173</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30 043,62</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1074"/>
        </w:trPr>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бюджета городского округа </w:t>
            </w:r>
            <w:r w:rsidRPr="00141CF3">
              <w:rPr>
                <w:rFonts w:ascii="Times New Roman" w:eastAsia="Times New Roman" w:hAnsi="Times New Roman" w:cs="Times New Roman"/>
                <w:vertAlign w:val="superscript"/>
                <w:lang w:eastAsia="ru-RU"/>
              </w:rPr>
              <w:t>1</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58</w:t>
            </w:r>
            <w:r>
              <w:rPr>
                <w:rFonts w:ascii="Times New Roman" w:eastAsia="Times New Roman" w:hAnsi="Times New Roman" w:cs="Times New Roman"/>
                <w:lang w:eastAsia="ru-RU"/>
              </w:rPr>
              <w:t>5</w:t>
            </w:r>
          </w:p>
        </w:tc>
        <w:tc>
          <w:tcPr>
            <w:tcW w:w="1276" w:type="dxa"/>
            <w:vAlign w:val="center"/>
          </w:tcPr>
          <w:p w:rsidR="00BA10F5" w:rsidRPr="00141CF3" w:rsidRDefault="00BA10F5" w:rsidP="002E3214">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 xml:space="preserve">49 </w:t>
            </w:r>
            <w:r w:rsidR="002E3214">
              <w:rPr>
                <w:rFonts w:ascii="Times New Roman" w:eastAsia="Times New Roman" w:hAnsi="Times New Roman" w:cs="Times New Roman"/>
                <w:b/>
                <w:lang w:eastAsia="ru-RU"/>
              </w:rPr>
              <w:t>096</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7674</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13 288</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14 264</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584,8</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53 404,3</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11 794,3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866"/>
        </w:trPr>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372,9</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37 402,5</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3 883,5</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880"/>
        </w:trPr>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694"/>
        </w:trPr>
        <w:tc>
          <w:tcPr>
            <w:tcW w:w="15008" w:type="dxa"/>
            <w:gridSpan w:val="13"/>
            <w:vAlign w:val="center"/>
          </w:tcPr>
          <w:p w:rsidR="00BA10F5" w:rsidRDefault="00BA10F5" w:rsidP="000E5455">
            <w:pPr>
              <w:widowControl w:val="0"/>
              <w:autoSpaceDE w:val="0"/>
              <w:autoSpaceDN w:val="0"/>
              <w:spacing w:after="0" w:line="240" w:lineRule="auto"/>
              <w:jc w:val="both"/>
              <w:rPr>
                <w:rFonts w:ascii="Times New Roman" w:hAnsi="Times New Roman" w:cs="Times New Roman"/>
                <w:bCs/>
                <w:sz w:val="18"/>
                <w:szCs w:val="18"/>
              </w:rPr>
            </w:pPr>
            <w:r>
              <w:rPr>
                <w:rFonts w:ascii="Times New Roman" w:hAnsi="Times New Roman" w:cs="Times New Roman"/>
                <w:sz w:val="18"/>
                <w:szCs w:val="18"/>
              </w:rPr>
              <w:t xml:space="preserve">      *   </w:t>
            </w:r>
            <w:r>
              <w:rPr>
                <w:rFonts w:ascii="Times New Roman" w:hAnsi="Times New Roman" w:cs="Times New Roman"/>
                <w:bCs/>
                <w:sz w:val="18"/>
                <w:szCs w:val="18"/>
              </w:rPr>
              <w:t>Средства предусмотрены в муниципальных программах поселений Красногорского муниципального района и реализуются поселениями самостоятельно</w:t>
            </w:r>
          </w:p>
          <w:p w:rsidR="00BA10F5" w:rsidRPr="003D385B" w:rsidRDefault="00BA10F5" w:rsidP="000E5455">
            <w:pPr>
              <w:widowControl w:val="0"/>
              <w:autoSpaceDE w:val="0"/>
              <w:autoSpaceDN w:val="0"/>
              <w:spacing w:after="0" w:line="240" w:lineRule="auto"/>
              <w:jc w:val="both"/>
              <w:rPr>
                <w:rFonts w:ascii="Times New Roman" w:hAnsi="Times New Roman" w:cs="Times New Roman"/>
                <w:bCs/>
                <w:sz w:val="10"/>
                <w:szCs w:val="10"/>
              </w:rPr>
            </w:pPr>
          </w:p>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0"/>
                <w:szCs w:val="18"/>
              </w:rPr>
              <w:t xml:space="preserve">     </w:t>
            </w:r>
            <w:r w:rsidRPr="002B5E3D">
              <w:rPr>
                <w:rFonts w:ascii="Times New Roman" w:hAnsi="Times New Roman" w:cs="Times New Roman"/>
                <w:sz w:val="20"/>
                <w:szCs w:val="18"/>
                <w:vertAlign w:val="superscript"/>
              </w:rPr>
              <w:t>1</w:t>
            </w:r>
            <w:r w:rsidRPr="008A65DA">
              <w:rPr>
                <w:rFonts w:ascii="Times New Roman" w:hAnsi="Times New Roman" w:cs="Times New Roman"/>
                <w:sz w:val="18"/>
                <w:szCs w:val="18"/>
              </w:rPr>
              <w:t xml:space="preserve">    </w:t>
            </w:r>
            <w:r>
              <w:rPr>
                <w:rFonts w:ascii="Times New Roman" w:hAnsi="Times New Roman" w:cs="Times New Roman"/>
                <w:bCs/>
                <w:sz w:val="18"/>
                <w:szCs w:val="18"/>
              </w:rPr>
              <w:t>До 01.01.2018 г. – средства бюджета Красногорского муниципального района</w:t>
            </w:r>
          </w:p>
        </w:tc>
      </w:tr>
      <w:tr w:rsidR="00BA10F5" w:rsidRPr="0049379E" w:rsidTr="00BA10F5">
        <w:tc>
          <w:tcPr>
            <w:tcW w:w="78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lastRenderedPageBreak/>
              <w:t>1.1.</w:t>
            </w:r>
          </w:p>
        </w:tc>
        <w:tc>
          <w:tcPr>
            <w:tcW w:w="1549" w:type="dxa"/>
            <w:vMerge w:val="restart"/>
          </w:tcPr>
          <w:p w:rsidR="00BA10F5" w:rsidRPr="0049379E" w:rsidRDefault="00BA10F5" w:rsidP="00BA10F5">
            <w:pPr>
              <w:widowControl w:val="0"/>
              <w:autoSpaceDE w:val="0"/>
              <w:autoSpaceDN w:val="0"/>
              <w:spacing w:after="0" w:line="240" w:lineRule="auto"/>
              <w:ind w:firstLine="80"/>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Оказание государственной поддержки молодым семьям в виде социальных выплат на приобретение жилого помещен</w:t>
            </w:r>
            <w:r>
              <w:rPr>
                <w:rFonts w:ascii="Times New Roman" w:eastAsia="Times New Roman" w:hAnsi="Times New Roman" w:cs="Times New Roman"/>
                <w:sz w:val="24"/>
                <w:szCs w:val="24"/>
                <w:lang w:eastAsia="ru-RU"/>
              </w:rPr>
              <w:t xml:space="preserve">ия или строительство </w:t>
            </w:r>
            <w:proofErr w:type="spellStart"/>
            <w:r>
              <w:rPr>
                <w:rFonts w:ascii="Times New Roman" w:eastAsia="Times New Roman" w:hAnsi="Times New Roman" w:cs="Times New Roman"/>
                <w:sz w:val="24"/>
                <w:szCs w:val="24"/>
                <w:lang w:eastAsia="ru-RU"/>
              </w:rPr>
              <w:t>ндивидуальног</w:t>
            </w:r>
            <w:r w:rsidRPr="0049379E">
              <w:rPr>
                <w:rFonts w:ascii="Times New Roman" w:eastAsia="Times New Roman" w:hAnsi="Times New Roman" w:cs="Times New Roman"/>
                <w:sz w:val="24"/>
                <w:szCs w:val="24"/>
                <w:lang w:eastAsia="ru-RU"/>
              </w:rPr>
              <w:t>о</w:t>
            </w:r>
            <w:proofErr w:type="spellEnd"/>
            <w:r w:rsidRPr="0049379E">
              <w:rPr>
                <w:rFonts w:ascii="Times New Roman" w:eastAsia="Times New Roman" w:hAnsi="Times New Roman" w:cs="Times New Roman"/>
                <w:sz w:val="24"/>
                <w:szCs w:val="24"/>
                <w:lang w:eastAsia="ru-RU"/>
              </w:rPr>
              <w:t xml:space="preserve"> жилого дома.</w:t>
            </w:r>
          </w:p>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BA10F5" w:rsidRPr="00B23726" w:rsidRDefault="00BA10F5" w:rsidP="000E5455">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 xml:space="preserve">Итого: </w:t>
            </w:r>
          </w:p>
          <w:p w:rsidR="00BA10F5" w:rsidRPr="00B23726" w:rsidRDefault="00BA10F5" w:rsidP="000E5455">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в том числе:</w:t>
            </w:r>
          </w:p>
        </w:tc>
        <w:tc>
          <w:tcPr>
            <w:tcW w:w="1275" w:type="dxa"/>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26928,873</w:t>
            </w:r>
          </w:p>
        </w:tc>
        <w:tc>
          <w:tcPr>
            <w:tcW w:w="1276" w:type="dxa"/>
            <w:vAlign w:val="center"/>
          </w:tcPr>
          <w:p w:rsidR="00BA10F5" w:rsidRPr="00B23726" w:rsidRDefault="002E3214"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169 946,42</w:t>
            </w:r>
          </w:p>
        </w:tc>
        <w:tc>
          <w:tcPr>
            <w:tcW w:w="1201"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30 043,62</w:t>
            </w:r>
          </w:p>
        </w:tc>
        <w:tc>
          <w:tcPr>
            <w:tcW w:w="992" w:type="dxa"/>
            <w:vAlign w:val="center"/>
          </w:tcPr>
          <w:p w:rsidR="00BA10F5" w:rsidRPr="00B23726" w:rsidRDefault="00BA10F5" w:rsidP="002E3214">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23</w:t>
            </w:r>
            <w:r w:rsidR="002E3214">
              <w:rPr>
                <w:rFonts w:ascii="Times New Roman" w:eastAsia="Times New Roman" w:hAnsi="Times New Roman" w:cs="Times New Roman"/>
                <w:b/>
                <w:lang w:eastAsia="ru-RU"/>
              </w:rPr>
              <w:t> 351,8</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38 331</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39 307</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38 913</w:t>
            </w:r>
          </w:p>
        </w:tc>
        <w:tc>
          <w:tcPr>
            <w:tcW w:w="1560" w:type="dxa"/>
            <w:vMerge w:val="restart"/>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116"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бюджетов поселений </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25386,173</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58</w:t>
            </w:r>
            <w:r>
              <w:rPr>
                <w:rFonts w:ascii="Times New Roman" w:eastAsia="Times New Roman" w:hAnsi="Times New Roman" w:cs="Times New Roman"/>
                <w:lang w:eastAsia="ru-RU"/>
              </w:rPr>
              <w:t>5</w:t>
            </w:r>
          </w:p>
        </w:tc>
        <w:tc>
          <w:tcPr>
            <w:tcW w:w="1276" w:type="dxa"/>
            <w:vAlign w:val="center"/>
          </w:tcPr>
          <w:p w:rsidR="00BA10F5" w:rsidRPr="00141CF3" w:rsidRDefault="00BA10F5" w:rsidP="002E3214">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49 </w:t>
            </w:r>
            <w:r w:rsidR="002E3214">
              <w:rPr>
                <w:rFonts w:ascii="Times New Roman" w:eastAsia="Times New Roman" w:hAnsi="Times New Roman" w:cs="Times New Roman"/>
                <w:lang w:eastAsia="ru-RU"/>
              </w:rPr>
              <w:t>096</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7674</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13 288</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14 264</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584,8</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53 404,3</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11 794,3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372,9</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37 402,5</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3 883,5</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1.1.1.</w:t>
            </w:r>
          </w:p>
        </w:tc>
        <w:tc>
          <w:tcPr>
            <w:tcW w:w="1549"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w:t>
            </w:r>
          </w:p>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lastRenderedPageBreak/>
              <w:t>2017-2021</w:t>
            </w:r>
          </w:p>
        </w:tc>
        <w:tc>
          <w:tcPr>
            <w:tcW w:w="1418" w:type="dxa"/>
          </w:tcPr>
          <w:p w:rsidR="00BA10F5" w:rsidRPr="00B23726" w:rsidRDefault="00BA10F5" w:rsidP="000E5455">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 xml:space="preserve">Итого: </w:t>
            </w:r>
          </w:p>
          <w:p w:rsidR="00BA10F5" w:rsidRPr="00B23726" w:rsidRDefault="00BA10F5" w:rsidP="000E5455">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в том числе:</w:t>
            </w:r>
          </w:p>
        </w:tc>
        <w:tc>
          <w:tcPr>
            <w:tcW w:w="1275" w:type="dxa"/>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26928,873</w:t>
            </w:r>
          </w:p>
        </w:tc>
        <w:tc>
          <w:tcPr>
            <w:tcW w:w="1276" w:type="dxa"/>
            <w:vAlign w:val="center"/>
          </w:tcPr>
          <w:p w:rsidR="00BA10F5" w:rsidRPr="00B23726" w:rsidRDefault="002E3214"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169 946,42</w:t>
            </w:r>
          </w:p>
        </w:tc>
        <w:tc>
          <w:tcPr>
            <w:tcW w:w="1201"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30 043,62</w:t>
            </w:r>
          </w:p>
        </w:tc>
        <w:tc>
          <w:tcPr>
            <w:tcW w:w="992" w:type="dxa"/>
            <w:vAlign w:val="center"/>
          </w:tcPr>
          <w:p w:rsidR="00BA10F5" w:rsidRPr="00B23726" w:rsidRDefault="00BA10F5" w:rsidP="002E3214">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23</w:t>
            </w:r>
            <w:r w:rsidR="002E3214">
              <w:rPr>
                <w:rFonts w:ascii="Times New Roman" w:eastAsia="Times New Roman" w:hAnsi="Times New Roman" w:cs="Times New Roman"/>
                <w:b/>
                <w:lang w:eastAsia="ru-RU"/>
              </w:rPr>
              <w:t> 351,8</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38 331</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39 307</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38 913</w:t>
            </w:r>
          </w:p>
        </w:tc>
        <w:tc>
          <w:tcPr>
            <w:tcW w:w="1560" w:type="dxa"/>
            <w:vMerge w:val="restart"/>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116"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бюджетов поселений </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25386,173</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58</w:t>
            </w:r>
            <w:r>
              <w:rPr>
                <w:rFonts w:ascii="Times New Roman" w:eastAsia="Times New Roman" w:hAnsi="Times New Roman" w:cs="Times New Roman"/>
                <w:lang w:eastAsia="ru-RU"/>
              </w:rPr>
              <w:t>5</w:t>
            </w:r>
          </w:p>
        </w:tc>
        <w:tc>
          <w:tcPr>
            <w:tcW w:w="1276" w:type="dxa"/>
            <w:vAlign w:val="center"/>
          </w:tcPr>
          <w:p w:rsidR="00BA10F5" w:rsidRPr="00141CF3" w:rsidRDefault="00BA10F5" w:rsidP="002E3214">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49 </w:t>
            </w:r>
            <w:r w:rsidR="002E3214">
              <w:rPr>
                <w:rFonts w:ascii="Times New Roman" w:eastAsia="Times New Roman" w:hAnsi="Times New Roman" w:cs="Times New Roman"/>
                <w:lang w:eastAsia="ru-RU"/>
              </w:rPr>
              <w:t>096</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7674</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13 288</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14 264</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584,8</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53 404,3</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11 794,3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372,9</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37 402,5</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3 883,5</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11 173</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w:t>
            </w:r>
            <w:r w:rsidRPr="00141CF3">
              <w:rPr>
                <w:rFonts w:ascii="Times New Roman" w:eastAsia="Times New Roman" w:hAnsi="Times New Roman" w:cs="Times New Roman"/>
                <w:lang w:eastAsia="ru-RU"/>
              </w:rPr>
              <w:lastRenderedPageBreak/>
              <w:t xml:space="preserve">ые </w:t>
            </w:r>
            <w:proofErr w:type="spellStart"/>
            <w:r w:rsidRPr="00141CF3">
              <w:rPr>
                <w:rFonts w:ascii="Times New Roman" w:eastAsia="Times New Roman" w:hAnsi="Times New Roman" w:cs="Times New Roman"/>
                <w:lang w:eastAsia="ru-RU"/>
              </w:rPr>
              <w:t>источики</w:t>
            </w:r>
            <w:proofErr w:type="spellEnd"/>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lastRenderedPageBreak/>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353"/>
        </w:trPr>
        <w:tc>
          <w:tcPr>
            <w:tcW w:w="78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1.1.2.</w:t>
            </w:r>
          </w:p>
        </w:tc>
        <w:tc>
          <w:tcPr>
            <w:tcW w:w="1549" w:type="dxa"/>
            <w:vMerge w:val="restart"/>
          </w:tcPr>
          <w:p w:rsidR="00BA10F5" w:rsidRPr="0049379E" w:rsidRDefault="00BA10F5" w:rsidP="002E3214">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Привлечение собственных и заемных средств молодых семей для приобретения жилого помещения или строительство индивидуального жилого дома</w:t>
            </w:r>
          </w:p>
        </w:tc>
        <w:tc>
          <w:tcPr>
            <w:tcW w:w="861"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BA10F5" w:rsidRPr="00B23726" w:rsidRDefault="00BA10F5" w:rsidP="000E5455">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Итого</w:t>
            </w:r>
          </w:p>
        </w:tc>
        <w:tc>
          <w:tcPr>
            <w:tcW w:w="1275" w:type="dxa"/>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276"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201"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560" w:type="dxa"/>
            <w:vMerge w:val="restart"/>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116"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1.1.3.</w:t>
            </w:r>
          </w:p>
        </w:tc>
        <w:tc>
          <w:tcPr>
            <w:tcW w:w="1549"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w:t>
            </w:r>
          </w:p>
        </w:tc>
        <w:tc>
          <w:tcPr>
            <w:tcW w:w="861"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BA10F5" w:rsidRPr="00B23726" w:rsidRDefault="00BA10F5" w:rsidP="000E5455">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Итого</w:t>
            </w:r>
          </w:p>
        </w:tc>
        <w:tc>
          <w:tcPr>
            <w:tcW w:w="1275" w:type="dxa"/>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276"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201"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BA10F5" w:rsidRPr="00B23726"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560" w:type="dxa"/>
            <w:vMerge w:val="restart"/>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116"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84" w:type="dxa"/>
            <w:vMerge/>
          </w:tcPr>
          <w:p w:rsidR="00BA10F5" w:rsidRPr="0049379E" w:rsidRDefault="00BA10F5" w:rsidP="000E5455">
            <w:pPr>
              <w:rPr>
                <w:rFonts w:ascii="Times New Roman" w:hAnsi="Times New Roman" w:cs="Times New Roman"/>
                <w:sz w:val="24"/>
                <w:szCs w:val="24"/>
              </w:rPr>
            </w:pPr>
          </w:p>
        </w:tc>
        <w:tc>
          <w:tcPr>
            <w:tcW w:w="1549" w:type="dxa"/>
            <w:vMerge/>
          </w:tcPr>
          <w:p w:rsidR="00BA10F5" w:rsidRPr="0049379E" w:rsidRDefault="00BA10F5" w:rsidP="000E5455">
            <w:pPr>
              <w:rPr>
                <w:rFonts w:ascii="Times New Roman" w:hAnsi="Times New Roman" w:cs="Times New Roman"/>
                <w:sz w:val="24"/>
                <w:szCs w:val="24"/>
              </w:rPr>
            </w:pPr>
          </w:p>
        </w:tc>
        <w:tc>
          <w:tcPr>
            <w:tcW w:w="86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5"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6"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6"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BA10F5" w:rsidRDefault="00BA10F5" w:rsidP="00BA10F5">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350DF3">
        <w:rPr>
          <w:rFonts w:ascii="Times New Roman" w:eastAsia="Times New Roman" w:hAnsi="Times New Roman" w:cs="Times New Roman"/>
          <w:b/>
          <w:sz w:val="60"/>
          <w:szCs w:val="60"/>
          <w:lang w:eastAsia="ru-RU"/>
        </w:rPr>
        <w:lastRenderedPageBreak/>
        <w:t xml:space="preserve">                           </w:t>
      </w:r>
    </w:p>
    <w:p w:rsidR="00BA10F5" w:rsidRPr="003946A6" w:rsidRDefault="00BA10F5" w:rsidP="00BA10F5">
      <w:pPr>
        <w:pStyle w:val="ConsPlusNormal"/>
        <w:jc w:val="center"/>
        <w:rPr>
          <w:rFonts w:ascii="Times New Roman" w:hAnsi="Times New Roman" w:cs="Times New Roman"/>
          <w:b/>
          <w:sz w:val="20"/>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417"/>
        <w:gridCol w:w="1351"/>
        <w:gridCol w:w="1201"/>
        <w:gridCol w:w="992"/>
        <w:gridCol w:w="992"/>
        <w:gridCol w:w="992"/>
        <w:gridCol w:w="992"/>
        <w:gridCol w:w="1560"/>
        <w:gridCol w:w="784"/>
      </w:tblGrid>
      <w:tr w:rsidR="00BA10F5" w:rsidRPr="0049379E" w:rsidTr="00BA10F5">
        <w:trPr>
          <w:trHeight w:val="567"/>
        </w:trPr>
        <w:tc>
          <w:tcPr>
            <w:tcW w:w="79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9379E">
              <w:rPr>
                <w:rFonts w:ascii="Times New Roman" w:eastAsia="Times New Roman" w:hAnsi="Times New Roman" w:cs="Times New Roman"/>
                <w:sz w:val="24"/>
                <w:szCs w:val="24"/>
                <w:lang w:eastAsia="ru-RU"/>
              </w:rPr>
              <w:t>.</w:t>
            </w:r>
          </w:p>
        </w:tc>
        <w:tc>
          <w:tcPr>
            <w:tcW w:w="1587" w:type="dxa"/>
            <w:vMerge w:val="restart"/>
          </w:tcPr>
          <w:p w:rsidR="00BA10F5" w:rsidRPr="00366914" w:rsidRDefault="00BA10F5" w:rsidP="000E5455">
            <w:pPr>
              <w:rPr>
                <w:rFonts w:ascii="Times New Roman" w:eastAsia="Calibri" w:hAnsi="Times New Roman" w:cs="Times New Roman"/>
                <w:b/>
              </w:rPr>
            </w:pPr>
            <w:r w:rsidRPr="00366914">
              <w:rPr>
                <w:rFonts w:ascii="Times New Roman" w:eastAsia="Calibri" w:hAnsi="Times New Roman" w:cs="Times New Roman"/>
                <w:b/>
              </w:rPr>
              <w:t xml:space="preserve">Основное мероприятие </w:t>
            </w:r>
            <w:r>
              <w:rPr>
                <w:rFonts w:ascii="Times New Roman" w:eastAsia="Calibri" w:hAnsi="Times New Roman" w:cs="Times New Roman"/>
                <w:b/>
              </w:rPr>
              <w:t>2</w:t>
            </w:r>
          </w:p>
          <w:p w:rsidR="00BA10F5" w:rsidRPr="00506CFC" w:rsidRDefault="002E3214" w:rsidP="000E5455">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BA10F5" w:rsidRPr="0049379E">
              <w:rPr>
                <w:rFonts w:ascii="Times New Roman" w:eastAsia="Times New Roman" w:hAnsi="Times New Roman" w:cs="Times New Roman"/>
                <w:sz w:val="24"/>
                <w:szCs w:val="24"/>
                <w:lang w:eastAsia="ru-RU"/>
              </w:rPr>
              <w:t xml:space="preserve">редоставление молодым семьям </w:t>
            </w:r>
            <w:r w:rsidR="00BA10F5" w:rsidRPr="00506CFC">
              <w:rPr>
                <w:rFonts w:ascii="Times New Roman" w:hAnsi="Times New Roman" w:cs="Times New Roman"/>
                <w:sz w:val="24"/>
                <w:szCs w:val="24"/>
              </w:rPr>
              <w:t>при рождении</w:t>
            </w:r>
          </w:p>
          <w:p w:rsidR="00BA10F5" w:rsidRPr="00506CFC" w:rsidRDefault="00BA10F5" w:rsidP="000E5455">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(усыновлении или удочерении) одного ребенка дополнительной</w:t>
            </w:r>
          </w:p>
          <w:p w:rsidR="00BA10F5" w:rsidRPr="00506CFC" w:rsidRDefault="00BA10F5" w:rsidP="000E5455">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социальной выплаты для погашения части расходов, связанных</w:t>
            </w:r>
          </w:p>
          <w:p w:rsidR="00BA10F5" w:rsidRPr="00506CFC" w:rsidRDefault="00BA10F5" w:rsidP="000E5455">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с приобретением жилого помещения или созданием объекта</w:t>
            </w:r>
          </w:p>
          <w:p w:rsidR="00BA10F5" w:rsidRPr="00506CFC" w:rsidRDefault="00BA10F5" w:rsidP="000E5455">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индивидуального жилищного строительства</w:t>
            </w:r>
          </w:p>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1"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Итого: </w:t>
            </w:r>
          </w:p>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 том числе:</w:t>
            </w:r>
          </w:p>
        </w:tc>
        <w:tc>
          <w:tcPr>
            <w:tcW w:w="1417"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51" w:type="dxa"/>
            <w:vAlign w:val="center"/>
          </w:tcPr>
          <w:p w:rsidR="00BA10F5" w:rsidRPr="00141CF3" w:rsidRDefault="002E3214"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393</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393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560" w:type="dxa"/>
            <w:vMerge w:val="restart"/>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784" w:type="dxa"/>
            <w:vMerge w:val="restart"/>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876"/>
        </w:trPr>
        <w:tc>
          <w:tcPr>
            <w:tcW w:w="794" w:type="dxa"/>
            <w:vMerge/>
          </w:tcPr>
          <w:p w:rsidR="00BA10F5" w:rsidRPr="0049379E" w:rsidRDefault="00BA10F5" w:rsidP="000E5455">
            <w:pPr>
              <w:rPr>
                <w:rFonts w:ascii="Times New Roman" w:hAnsi="Times New Roman" w:cs="Times New Roman"/>
                <w:sz w:val="24"/>
                <w:szCs w:val="24"/>
              </w:rPr>
            </w:pPr>
          </w:p>
        </w:tc>
        <w:tc>
          <w:tcPr>
            <w:tcW w:w="1587" w:type="dxa"/>
            <w:vMerge/>
          </w:tcPr>
          <w:p w:rsidR="00BA10F5" w:rsidRPr="0049379E" w:rsidRDefault="00BA10F5" w:rsidP="000E5455">
            <w:pPr>
              <w:rPr>
                <w:rFonts w:ascii="Times New Roman" w:hAnsi="Times New Roman" w:cs="Times New Roman"/>
                <w:sz w:val="24"/>
                <w:szCs w:val="24"/>
              </w:rPr>
            </w:pPr>
          </w:p>
        </w:tc>
        <w:tc>
          <w:tcPr>
            <w:tcW w:w="102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 *</w:t>
            </w:r>
          </w:p>
        </w:tc>
        <w:tc>
          <w:tcPr>
            <w:tcW w:w="1417"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5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784"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1074"/>
        </w:trPr>
        <w:tc>
          <w:tcPr>
            <w:tcW w:w="794" w:type="dxa"/>
            <w:vMerge/>
          </w:tcPr>
          <w:p w:rsidR="00BA10F5" w:rsidRPr="0049379E" w:rsidRDefault="00BA10F5" w:rsidP="000E5455">
            <w:pPr>
              <w:rPr>
                <w:rFonts w:ascii="Times New Roman" w:hAnsi="Times New Roman" w:cs="Times New Roman"/>
                <w:sz w:val="24"/>
                <w:szCs w:val="24"/>
              </w:rPr>
            </w:pPr>
          </w:p>
        </w:tc>
        <w:tc>
          <w:tcPr>
            <w:tcW w:w="1587" w:type="dxa"/>
            <w:vMerge/>
          </w:tcPr>
          <w:p w:rsidR="00BA10F5" w:rsidRPr="0049379E" w:rsidRDefault="00BA10F5" w:rsidP="000E5455">
            <w:pPr>
              <w:rPr>
                <w:rFonts w:ascii="Times New Roman" w:hAnsi="Times New Roman" w:cs="Times New Roman"/>
                <w:sz w:val="24"/>
                <w:szCs w:val="24"/>
              </w:rPr>
            </w:pPr>
          </w:p>
        </w:tc>
        <w:tc>
          <w:tcPr>
            <w:tcW w:w="102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бюджета городского округа </w:t>
            </w:r>
            <w:r w:rsidRPr="00141CF3">
              <w:rPr>
                <w:rFonts w:ascii="Times New Roman" w:eastAsia="Times New Roman" w:hAnsi="Times New Roman" w:cs="Times New Roman"/>
                <w:vertAlign w:val="superscript"/>
                <w:lang w:eastAsia="ru-RU"/>
              </w:rPr>
              <w:t>1</w:t>
            </w:r>
          </w:p>
        </w:tc>
        <w:tc>
          <w:tcPr>
            <w:tcW w:w="1417"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5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393</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784"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c>
          <w:tcPr>
            <w:tcW w:w="794" w:type="dxa"/>
            <w:vMerge/>
          </w:tcPr>
          <w:p w:rsidR="00BA10F5" w:rsidRPr="0049379E" w:rsidRDefault="00BA10F5" w:rsidP="000E5455">
            <w:pPr>
              <w:rPr>
                <w:rFonts w:ascii="Times New Roman" w:hAnsi="Times New Roman" w:cs="Times New Roman"/>
                <w:sz w:val="24"/>
                <w:szCs w:val="24"/>
              </w:rPr>
            </w:pPr>
          </w:p>
        </w:tc>
        <w:tc>
          <w:tcPr>
            <w:tcW w:w="1587" w:type="dxa"/>
            <w:vMerge/>
          </w:tcPr>
          <w:p w:rsidR="00BA10F5" w:rsidRPr="0049379E" w:rsidRDefault="00BA10F5" w:rsidP="000E5455">
            <w:pPr>
              <w:rPr>
                <w:rFonts w:ascii="Times New Roman" w:hAnsi="Times New Roman" w:cs="Times New Roman"/>
                <w:sz w:val="24"/>
                <w:szCs w:val="24"/>
              </w:rPr>
            </w:pPr>
          </w:p>
        </w:tc>
        <w:tc>
          <w:tcPr>
            <w:tcW w:w="102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417"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5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784"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866"/>
        </w:trPr>
        <w:tc>
          <w:tcPr>
            <w:tcW w:w="794" w:type="dxa"/>
            <w:vMerge/>
          </w:tcPr>
          <w:p w:rsidR="00BA10F5" w:rsidRPr="0049379E" w:rsidRDefault="00BA10F5" w:rsidP="000E5455">
            <w:pPr>
              <w:rPr>
                <w:rFonts w:ascii="Times New Roman" w:hAnsi="Times New Roman" w:cs="Times New Roman"/>
                <w:sz w:val="24"/>
                <w:szCs w:val="24"/>
              </w:rPr>
            </w:pPr>
          </w:p>
        </w:tc>
        <w:tc>
          <w:tcPr>
            <w:tcW w:w="1587" w:type="dxa"/>
            <w:vMerge/>
          </w:tcPr>
          <w:p w:rsidR="00BA10F5" w:rsidRPr="0049379E" w:rsidRDefault="00BA10F5" w:rsidP="000E5455">
            <w:pPr>
              <w:rPr>
                <w:rFonts w:ascii="Times New Roman" w:hAnsi="Times New Roman" w:cs="Times New Roman"/>
                <w:sz w:val="24"/>
                <w:szCs w:val="24"/>
              </w:rPr>
            </w:pPr>
          </w:p>
        </w:tc>
        <w:tc>
          <w:tcPr>
            <w:tcW w:w="102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417"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5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784"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A10F5" w:rsidRPr="0049379E" w:rsidTr="00BA10F5">
        <w:trPr>
          <w:trHeight w:val="880"/>
        </w:trPr>
        <w:tc>
          <w:tcPr>
            <w:tcW w:w="794" w:type="dxa"/>
            <w:vMerge/>
          </w:tcPr>
          <w:p w:rsidR="00BA10F5" w:rsidRPr="0049379E" w:rsidRDefault="00BA10F5" w:rsidP="000E5455">
            <w:pPr>
              <w:rPr>
                <w:rFonts w:ascii="Times New Roman" w:hAnsi="Times New Roman" w:cs="Times New Roman"/>
                <w:sz w:val="24"/>
                <w:szCs w:val="24"/>
              </w:rPr>
            </w:pPr>
          </w:p>
        </w:tc>
        <w:tc>
          <w:tcPr>
            <w:tcW w:w="1587" w:type="dxa"/>
            <w:vMerge/>
          </w:tcPr>
          <w:p w:rsidR="00BA10F5" w:rsidRPr="0049379E" w:rsidRDefault="00BA10F5" w:rsidP="000E5455">
            <w:pPr>
              <w:rPr>
                <w:rFonts w:ascii="Times New Roman" w:hAnsi="Times New Roman" w:cs="Times New Roman"/>
                <w:sz w:val="24"/>
                <w:szCs w:val="24"/>
              </w:rPr>
            </w:pPr>
          </w:p>
        </w:tc>
        <w:tc>
          <w:tcPr>
            <w:tcW w:w="1021" w:type="dxa"/>
            <w:vMerge/>
          </w:tcPr>
          <w:p w:rsidR="00BA10F5" w:rsidRPr="0049379E" w:rsidRDefault="00BA10F5" w:rsidP="000E5455">
            <w:pPr>
              <w:rPr>
                <w:rFonts w:ascii="Times New Roman" w:hAnsi="Times New Roman" w:cs="Times New Roman"/>
                <w:sz w:val="24"/>
                <w:szCs w:val="24"/>
              </w:rPr>
            </w:pPr>
          </w:p>
        </w:tc>
        <w:tc>
          <w:tcPr>
            <w:tcW w:w="1418" w:type="dxa"/>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417" w:type="dxa"/>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35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0</w:t>
            </w:r>
          </w:p>
        </w:tc>
        <w:tc>
          <w:tcPr>
            <w:tcW w:w="1201"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BA10F5" w:rsidRPr="00141CF3" w:rsidRDefault="00BA10F5" w:rsidP="000E5455">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560" w:type="dxa"/>
            <w:vMerge/>
          </w:tcPr>
          <w:p w:rsidR="00BA10F5" w:rsidRPr="00141CF3" w:rsidRDefault="00BA10F5" w:rsidP="000E5455">
            <w:pPr>
              <w:widowControl w:val="0"/>
              <w:autoSpaceDE w:val="0"/>
              <w:autoSpaceDN w:val="0"/>
              <w:spacing w:after="0" w:line="240" w:lineRule="auto"/>
              <w:rPr>
                <w:rFonts w:ascii="Times New Roman" w:eastAsia="Times New Roman" w:hAnsi="Times New Roman" w:cs="Times New Roman"/>
                <w:lang w:eastAsia="ru-RU"/>
              </w:rPr>
            </w:pPr>
          </w:p>
        </w:tc>
        <w:tc>
          <w:tcPr>
            <w:tcW w:w="784" w:type="dxa"/>
            <w:vMerge/>
          </w:tcPr>
          <w:p w:rsidR="00BA10F5" w:rsidRPr="0049379E" w:rsidRDefault="00BA10F5" w:rsidP="000E545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BA10F5" w:rsidRDefault="00BA10F5" w:rsidP="00BA10F5">
      <w:pPr>
        <w:pStyle w:val="ConsPlusNormal"/>
        <w:jc w:val="center"/>
        <w:rPr>
          <w:rFonts w:ascii="Times New Roman" w:hAnsi="Times New Roman" w:cs="Times New Roman"/>
          <w:b/>
          <w:sz w:val="28"/>
          <w:szCs w:val="28"/>
        </w:rPr>
      </w:pPr>
    </w:p>
    <w:p w:rsidR="00BA10F5" w:rsidRDefault="00BA10F5" w:rsidP="00BA10F5">
      <w:pPr>
        <w:pStyle w:val="ConsPlusNormal"/>
        <w:jc w:val="center"/>
        <w:rPr>
          <w:rFonts w:ascii="Times New Roman" w:hAnsi="Times New Roman" w:cs="Times New Roman"/>
          <w:b/>
          <w:sz w:val="28"/>
          <w:szCs w:val="28"/>
        </w:rPr>
      </w:pPr>
    </w:p>
    <w:p w:rsidR="00BA10F5" w:rsidRDefault="00BA10F5" w:rsidP="00BA10F5">
      <w:pPr>
        <w:pStyle w:val="ConsPlusNormal"/>
        <w:jc w:val="center"/>
        <w:rPr>
          <w:rFonts w:ascii="Times New Roman" w:hAnsi="Times New Roman" w:cs="Times New Roman"/>
          <w:b/>
          <w:sz w:val="28"/>
          <w:szCs w:val="28"/>
        </w:rPr>
      </w:pPr>
    </w:p>
    <w:p w:rsidR="00BA10F5" w:rsidRDefault="00BA10F5" w:rsidP="00BA10F5">
      <w:pPr>
        <w:pStyle w:val="ConsPlusNormal"/>
        <w:jc w:val="center"/>
        <w:rPr>
          <w:rFonts w:ascii="Times New Roman" w:hAnsi="Times New Roman" w:cs="Times New Roman"/>
          <w:b/>
          <w:sz w:val="28"/>
          <w:szCs w:val="28"/>
        </w:rPr>
      </w:pPr>
    </w:p>
    <w:p w:rsidR="000A613A" w:rsidRDefault="000A613A"/>
    <w:sectPr w:rsidR="000A613A" w:rsidSect="000E5455">
      <w:pgSz w:w="16838" w:h="11906" w:orient="landscape"/>
      <w:pgMar w:top="993" w:right="110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C1"/>
    <w:rsid w:val="000A613A"/>
    <w:rsid w:val="000E5455"/>
    <w:rsid w:val="002E3214"/>
    <w:rsid w:val="007975B1"/>
    <w:rsid w:val="008336C1"/>
    <w:rsid w:val="00BA1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AFC327-F2E8-4A2C-8811-E4867C4D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A10F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0E54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5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5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Гуликова</dc:creator>
  <cp:keywords/>
  <dc:description/>
  <cp:lastModifiedBy>Ирина Викторовна Гуликова</cp:lastModifiedBy>
  <cp:revision>4</cp:revision>
  <cp:lastPrinted>2018-07-10T12:00:00Z</cp:lastPrinted>
  <dcterms:created xsi:type="dcterms:W3CDTF">2018-07-04T13:42:00Z</dcterms:created>
  <dcterms:modified xsi:type="dcterms:W3CDTF">2018-07-10T12:23:00Z</dcterms:modified>
</cp:coreProperties>
</file>