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D41D6C" w:rsidP="008B0D79">
      <w:pPr>
        <w:jc w:val="center"/>
      </w:pPr>
    </w:p>
    <w:p w:rsidR="00CC43F8" w:rsidRDefault="00CC43F8" w:rsidP="008B0D79">
      <w:pPr>
        <w:jc w:val="center"/>
      </w:pPr>
    </w:p>
    <w:p w:rsidR="00C52393" w:rsidRDefault="00C52393" w:rsidP="008B0D79">
      <w:pPr>
        <w:jc w:val="center"/>
      </w:pPr>
    </w:p>
    <w:p w:rsidR="00C52393" w:rsidRDefault="00C52393" w:rsidP="008B0D79">
      <w:pPr>
        <w:jc w:val="center"/>
      </w:pPr>
    </w:p>
    <w:p w:rsidR="00C52393" w:rsidRDefault="00C52393" w:rsidP="008B0D79">
      <w:pPr>
        <w:jc w:val="center"/>
      </w:pPr>
    </w:p>
    <w:p w:rsidR="00CC43F8" w:rsidRDefault="00CC43F8" w:rsidP="008B0D79">
      <w:pPr>
        <w:jc w:val="center"/>
      </w:pPr>
    </w:p>
    <w:p w:rsidR="00CC43F8" w:rsidRDefault="00CC43F8" w:rsidP="008B0D79">
      <w:pPr>
        <w:jc w:val="center"/>
      </w:pPr>
    </w:p>
    <w:p w:rsidR="00CC43F8" w:rsidRDefault="00CC43F8" w:rsidP="00567358">
      <w:pPr>
        <w:spacing w:line="276" w:lineRule="auto"/>
        <w:jc w:val="center"/>
      </w:pPr>
    </w:p>
    <w:p w:rsidR="006721CB" w:rsidRDefault="00567358" w:rsidP="00567358">
      <w:pPr>
        <w:spacing w:line="276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567358">
        <w:rPr>
          <w:rFonts w:ascii="Times New Roman" w:hAnsi="Times New Roman" w:cs="Times New Roman"/>
          <w:sz w:val="28"/>
          <w:szCs w:val="28"/>
        </w:rPr>
        <w:t xml:space="preserve">Об установлении и утверждении значения коэффициента </w:t>
      </w:r>
      <w:proofErr w:type="spellStart"/>
      <w:r w:rsidRPr="00567358">
        <w:rPr>
          <w:rFonts w:ascii="Times New Roman" w:hAnsi="Times New Roman" w:cs="Times New Roman"/>
          <w:sz w:val="28"/>
          <w:szCs w:val="28"/>
        </w:rPr>
        <w:t>Ккоркс</w:t>
      </w:r>
      <w:proofErr w:type="spellEnd"/>
      <w:r w:rsidRPr="00567358">
        <w:rPr>
          <w:rFonts w:ascii="Times New Roman" w:hAnsi="Times New Roman" w:cs="Times New Roman"/>
          <w:sz w:val="28"/>
          <w:szCs w:val="28"/>
        </w:rPr>
        <w:t>, в целях применения для расчета платы за предоставление места для создания семейного (родового) захоронения</w:t>
      </w:r>
    </w:p>
    <w:p w:rsidR="00567358" w:rsidRDefault="00567358" w:rsidP="00567358">
      <w:pPr>
        <w:spacing w:line="276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485AF0" w:rsidRDefault="00567358" w:rsidP="00567358">
      <w:pPr>
        <w:pStyle w:val="ConsPlusNormal"/>
        <w:spacing w:line="276" w:lineRule="auto"/>
        <w:ind w:firstLine="709"/>
        <w:jc w:val="both"/>
      </w:pPr>
      <w:proofErr w:type="gramStart"/>
      <w:r w:rsidRPr="00567358"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Законом Московской области от 17.07.2007 № 115/2007-ОЗ «О погребении и похоронном деле в Московской области», постановлением </w:t>
      </w:r>
      <w:r>
        <w:t xml:space="preserve"> </w:t>
      </w:r>
      <w:r w:rsidRPr="00567358">
        <w:t xml:space="preserve">Правительства </w:t>
      </w:r>
      <w:r>
        <w:t xml:space="preserve"> </w:t>
      </w:r>
      <w:r w:rsidRPr="00567358">
        <w:t xml:space="preserve">Московской </w:t>
      </w:r>
      <w:r>
        <w:t xml:space="preserve"> </w:t>
      </w:r>
      <w:r w:rsidRPr="00567358">
        <w:t xml:space="preserve">области </w:t>
      </w:r>
      <w:r>
        <w:t xml:space="preserve"> </w:t>
      </w:r>
      <w:r w:rsidRPr="00567358">
        <w:t>от</w:t>
      </w:r>
      <w:r>
        <w:t xml:space="preserve"> </w:t>
      </w:r>
      <w:r w:rsidRPr="00567358">
        <w:t xml:space="preserve"> 17.03.2022</w:t>
      </w:r>
      <w:r>
        <w:t xml:space="preserve"> </w:t>
      </w:r>
      <w:r w:rsidRPr="00567358">
        <w:t xml:space="preserve"> года</w:t>
      </w:r>
      <w:r>
        <w:t xml:space="preserve"> </w:t>
      </w:r>
      <w:r w:rsidRPr="00567358">
        <w:t xml:space="preserve"> № 244/9 «Об утверждении Порядка оформления родственных, почетных, воинских захоронений, созданных</w:t>
      </w:r>
      <w:proofErr w:type="gramEnd"/>
      <w:r w:rsidRPr="00567358">
        <w:t xml:space="preserve"> </w:t>
      </w:r>
      <w:proofErr w:type="gramStart"/>
      <w:r w:rsidRPr="00567358"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  Уставо</w:t>
      </w:r>
      <w:r>
        <w:t>м городского округа Красногорск</w:t>
      </w:r>
      <w:r w:rsidRPr="00567358">
        <w:t>,</w:t>
      </w:r>
      <w:r w:rsidR="00480D46">
        <w:t xml:space="preserve"> </w:t>
      </w:r>
      <w:r w:rsidR="0083704A">
        <w:t>постановляю:</w:t>
      </w:r>
      <w:proofErr w:type="gramEnd"/>
    </w:p>
    <w:p w:rsidR="00567358" w:rsidRPr="00567358" w:rsidRDefault="00567358" w:rsidP="00567358">
      <w:pPr>
        <w:pStyle w:val="ConsPlusNormal"/>
        <w:numPr>
          <w:ilvl w:val="0"/>
          <w:numId w:val="4"/>
        </w:numPr>
        <w:tabs>
          <w:tab w:val="right" w:pos="1134"/>
        </w:tabs>
        <w:spacing w:line="276" w:lineRule="auto"/>
        <w:ind w:left="0" w:firstLine="1069"/>
        <w:jc w:val="both"/>
      </w:pPr>
      <w:r w:rsidRPr="00567358">
        <w:t xml:space="preserve">В целях реализации Методики расчета платы за часть земельного </w:t>
      </w:r>
      <w:proofErr w:type="gramStart"/>
      <w:r w:rsidRPr="00567358">
        <w:t xml:space="preserve">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захоронения, утвержденной постановлением Правительства Московской области от 17.03.2022 года №244/9 </w:t>
      </w:r>
      <w:r w:rsidRPr="00567358">
        <w:rPr>
          <w:shd w:val="clear" w:color="auto" w:fill="FFFFFF"/>
        </w:rPr>
        <w:t>«</w:t>
      </w:r>
      <w:r w:rsidRPr="00567358">
        <w:t xml:space="preserve">Об утверждении Порядка оформления родственных, почетных, воинских захоронений, созданных 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</w:t>
      </w:r>
      <w:r w:rsidRPr="00567358">
        <w:lastRenderedPageBreak/>
        <w:t>данных мест захоронений, как семейные</w:t>
      </w:r>
      <w:proofErr w:type="gramEnd"/>
      <w:r w:rsidRPr="00567358">
        <w:t xml:space="preserve"> (</w:t>
      </w:r>
      <w:proofErr w:type="gramStart"/>
      <w:r w:rsidRPr="00567358">
        <w:t xml:space="preserve">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установить и утвердить значение коэффициента </w:t>
      </w:r>
      <w:proofErr w:type="spellStart"/>
      <w:r w:rsidRPr="00567358">
        <w:t>Ккоркс</w:t>
      </w:r>
      <w:proofErr w:type="spellEnd"/>
      <w:r w:rsidRPr="00567358">
        <w:t xml:space="preserve"> в соот</w:t>
      </w:r>
      <w:r>
        <w:t>ветствии с прилагаемой формой (Т</w:t>
      </w:r>
      <w:r w:rsidRPr="00567358">
        <w:t>аблица 1).</w:t>
      </w:r>
      <w:proofErr w:type="gramEnd"/>
    </w:p>
    <w:p w:rsidR="00567358" w:rsidRPr="00567358" w:rsidRDefault="00567358" w:rsidP="00567358">
      <w:pPr>
        <w:pStyle w:val="ConsPlusNormal"/>
        <w:tabs>
          <w:tab w:val="right" w:pos="1134"/>
        </w:tabs>
        <w:spacing w:before="120" w:after="120" w:line="276" w:lineRule="auto"/>
        <w:jc w:val="right"/>
        <w:rPr>
          <w:lang w:val="en-US"/>
        </w:rPr>
      </w:pPr>
      <w:proofErr w:type="spellStart"/>
      <w:r w:rsidRPr="00567358">
        <w:rPr>
          <w:lang w:val="en-US"/>
        </w:rPr>
        <w:t>Таблица</w:t>
      </w:r>
      <w:proofErr w:type="spellEnd"/>
      <w:r w:rsidRPr="00567358">
        <w:rPr>
          <w:lang w:val="en-US"/>
        </w:rPr>
        <w:t xml:space="preserve"> 1</w:t>
      </w:r>
    </w:p>
    <w:tbl>
      <w:tblPr>
        <w:tblW w:w="0" w:type="auto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0"/>
        <w:gridCol w:w="4884"/>
      </w:tblGrid>
      <w:tr w:rsidR="00567358" w:rsidRPr="00567358" w:rsidTr="007D4363">
        <w:trPr>
          <w:trHeight w:val="125"/>
        </w:trPr>
        <w:tc>
          <w:tcPr>
            <w:tcW w:w="4420" w:type="dxa"/>
          </w:tcPr>
          <w:p w:rsidR="00341DC5" w:rsidRDefault="00341DC5" w:rsidP="00567358">
            <w:pPr>
              <w:pStyle w:val="ConsPlusNormal"/>
              <w:tabs>
                <w:tab w:val="right" w:pos="1134"/>
              </w:tabs>
              <w:spacing w:line="276" w:lineRule="auto"/>
              <w:ind w:left="11"/>
              <w:jc w:val="both"/>
            </w:pPr>
          </w:p>
          <w:p w:rsidR="00567358" w:rsidRDefault="00567358" w:rsidP="00567358">
            <w:pPr>
              <w:pStyle w:val="ConsPlusNormal"/>
              <w:tabs>
                <w:tab w:val="right" w:pos="1134"/>
              </w:tabs>
              <w:spacing w:line="276" w:lineRule="auto"/>
              <w:ind w:left="11"/>
              <w:jc w:val="both"/>
            </w:pPr>
            <w:r w:rsidRPr="00567358">
              <w:t>Кадастровая стоимость 1 кв. метра земельного участка под кладбищем, на территории которого родственное, почетное, воинское захоронение оформляется как семейное (родовое) захоронение (</w:t>
            </w:r>
            <w:proofErr w:type="spellStart"/>
            <w:r w:rsidRPr="00567358">
              <w:t>КСзук</w:t>
            </w:r>
            <w:proofErr w:type="spellEnd"/>
            <w:r w:rsidRPr="00567358">
              <w:t>)</w:t>
            </w:r>
          </w:p>
          <w:p w:rsidR="00567358" w:rsidRPr="00567358" w:rsidRDefault="00567358" w:rsidP="00567358">
            <w:pPr>
              <w:pStyle w:val="ConsPlusNormal"/>
              <w:tabs>
                <w:tab w:val="right" w:pos="1134"/>
              </w:tabs>
              <w:spacing w:line="276" w:lineRule="auto"/>
              <w:ind w:left="11"/>
              <w:jc w:val="both"/>
            </w:pPr>
          </w:p>
        </w:tc>
        <w:tc>
          <w:tcPr>
            <w:tcW w:w="4884" w:type="dxa"/>
          </w:tcPr>
          <w:p w:rsidR="00341DC5" w:rsidRDefault="00341DC5" w:rsidP="00567358">
            <w:pPr>
              <w:pStyle w:val="ConsPlusNormal"/>
              <w:tabs>
                <w:tab w:val="right" w:pos="1134"/>
              </w:tabs>
              <w:spacing w:line="276" w:lineRule="auto"/>
              <w:ind w:left="11"/>
              <w:jc w:val="center"/>
            </w:pPr>
          </w:p>
          <w:p w:rsidR="00567358" w:rsidRPr="00567358" w:rsidRDefault="00567358" w:rsidP="00567358">
            <w:pPr>
              <w:pStyle w:val="ConsPlusNormal"/>
              <w:tabs>
                <w:tab w:val="right" w:pos="1134"/>
              </w:tabs>
              <w:spacing w:line="276" w:lineRule="auto"/>
              <w:ind w:left="11"/>
              <w:jc w:val="center"/>
              <w:rPr>
                <w:lang w:val="en-US"/>
              </w:rPr>
            </w:pPr>
            <w:proofErr w:type="spellStart"/>
            <w:r w:rsidRPr="00567358">
              <w:rPr>
                <w:lang w:val="en-US"/>
              </w:rPr>
              <w:t>Значение</w:t>
            </w:r>
            <w:proofErr w:type="spellEnd"/>
            <w:r w:rsidRPr="00567358">
              <w:rPr>
                <w:lang w:val="en-US"/>
              </w:rPr>
              <w:t xml:space="preserve"> </w:t>
            </w:r>
            <w:proofErr w:type="spellStart"/>
            <w:r w:rsidRPr="00567358">
              <w:rPr>
                <w:lang w:val="en-US"/>
              </w:rPr>
              <w:t>коэффициента</w:t>
            </w:r>
            <w:proofErr w:type="spellEnd"/>
            <w:r w:rsidRPr="00567358">
              <w:rPr>
                <w:lang w:val="en-US"/>
              </w:rPr>
              <w:t xml:space="preserve"> </w:t>
            </w:r>
            <w:proofErr w:type="spellStart"/>
            <w:r w:rsidRPr="00567358">
              <w:t>Ккоркс</w:t>
            </w:r>
            <w:proofErr w:type="spellEnd"/>
            <w:r w:rsidRPr="00567358">
              <w:rPr>
                <w:lang w:val="en-US"/>
              </w:rPr>
              <w:t>.</w:t>
            </w:r>
          </w:p>
        </w:tc>
      </w:tr>
      <w:tr w:rsidR="00567358" w:rsidRPr="00567358" w:rsidTr="00567358">
        <w:trPr>
          <w:trHeight w:val="125"/>
        </w:trPr>
        <w:tc>
          <w:tcPr>
            <w:tcW w:w="4420" w:type="dxa"/>
            <w:vAlign w:val="center"/>
          </w:tcPr>
          <w:p w:rsidR="00567358" w:rsidRDefault="00567358" w:rsidP="00567358">
            <w:pPr>
              <w:pStyle w:val="ConsPlusNormal"/>
              <w:tabs>
                <w:tab w:val="right" w:pos="1134"/>
              </w:tabs>
              <w:spacing w:line="276" w:lineRule="auto"/>
              <w:ind w:left="11"/>
              <w:jc w:val="center"/>
            </w:pPr>
          </w:p>
          <w:p w:rsidR="00567358" w:rsidRDefault="00567358" w:rsidP="00567358">
            <w:pPr>
              <w:pStyle w:val="ConsPlusNormal"/>
              <w:tabs>
                <w:tab w:val="right" w:pos="1134"/>
              </w:tabs>
              <w:spacing w:line="276" w:lineRule="auto"/>
              <w:ind w:left="11"/>
              <w:jc w:val="center"/>
            </w:pPr>
            <w:r w:rsidRPr="00567358">
              <w:t>д</w:t>
            </w:r>
            <w:r w:rsidRPr="00567358">
              <w:rPr>
                <w:lang w:val="en-US"/>
              </w:rPr>
              <w:t xml:space="preserve">о </w:t>
            </w:r>
            <w:r w:rsidRPr="00567358">
              <w:t>10 0</w:t>
            </w:r>
            <w:r w:rsidRPr="00567358">
              <w:rPr>
                <w:lang w:val="en-US"/>
              </w:rPr>
              <w:t xml:space="preserve">00 </w:t>
            </w:r>
            <w:proofErr w:type="spellStart"/>
            <w:r w:rsidRPr="00567358">
              <w:rPr>
                <w:lang w:val="en-US"/>
              </w:rPr>
              <w:t>рублей</w:t>
            </w:r>
            <w:proofErr w:type="spellEnd"/>
            <w:r w:rsidRPr="00567358">
              <w:rPr>
                <w:lang w:val="en-US"/>
              </w:rPr>
              <w:t xml:space="preserve"> (</w:t>
            </w:r>
            <w:proofErr w:type="spellStart"/>
            <w:r w:rsidRPr="00567358">
              <w:rPr>
                <w:lang w:val="en-US"/>
              </w:rPr>
              <w:t>включительно</w:t>
            </w:r>
            <w:proofErr w:type="spellEnd"/>
            <w:r w:rsidRPr="00567358">
              <w:rPr>
                <w:lang w:val="en-US"/>
              </w:rPr>
              <w:t>)</w:t>
            </w:r>
          </w:p>
          <w:p w:rsidR="00567358" w:rsidRPr="00567358" w:rsidRDefault="00567358" w:rsidP="00567358">
            <w:pPr>
              <w:pStyle w:val="ConsPlusNormal"/>
              <w:tabs>
                <w:tab w:val="right" w:pos="1134"/>
              </w:tabs>
              <w:spacing w:line="276" w:lineRule="auto"/>
              <w:ind w:left="11"/>
              <w:jc w:val="center"/>
            </w:pPr>
          </w:p>
        </w:tc>
        <w:tc>
          <w:tcPr>
            <w:tcW w:w="4884" w:type="dxa"/>
            <w:vAlign w:val="center"/>
          </w:tcPr>
          <w:p w:rsidR="00567358" w:rsidRPr="00567358" w:rsidRDefault="00567358" w:rsidP="00567358">
            <w:pPr>
              <w:pStyle w:val="ConsPlusNormal"/>
              <w:tabs>
                <w:tab w:val="right" w:pos="1134"/>
              </w:tabs>
              <w:spacing w:line="276" w:lineRule="auto"/>
              <w:ind w:left="11"/>
              <w:jc w:val="center"/>
            </w:pPr>
            <w:r w:rsidRPr="00567358">
              <w:t>0,5</w:t>
            </w:r>
          </w:p>
        </w:tc>
      </w:tr>
      <w:tr w:rsidR="00567358" w:rsidRPr="00567358" w:rsidTr="00567358">
        <w:trPr>
          <w:trHeight w:val="162"/>
        </w:trPr>
        <w:tc>
          <w:tcPr>
            <w:tcW w:w="4420" w:type="dxa"/>
            <w:vAlign w:val="center"/>
          </w:tcPr>
          <w:p w:rsidR="00567358" w:rsidRDefault="00567358" w:rsidP="00567358">
            <w:pPr>
              <w:pStyle w:val="ConsPlusNormal"/>
              <w:tabs>
                <w:tab w:val="right" w:pos="1134"/>
              </w:tabs>
              <w:spacing w:line="276" w:lineRule="auto"/>
              <w:ind w:left="11"/>
              <w:jc w:val="center"/>
            </w:pPr>
          </w:p>
          <w:p w:rsidR="00567358" w:rsidRDefault="00567358" w:rsidP="00567358">
            <w:pPr>
              <w:pStyle w:val="ConsPlusNormal"/>
              <w:tabs>
                <w:tab w:val="right" w:pos="1134"/>
              </w:tabs>
              <w:spacing w:line="276" w:lineRule="auto"/>
              <w:ind w:left="11"/>
            </w:pPr>
            <w:r w:rsidRPr="00567358">
              <w:t>от 10 001 рубля и более</w:t>
            </w:r>
          </w:p>
          <w:p w:rsidR="00567358" w:rsidRPr="00567358" w:rsidRDefault="00567358" w:rsidP="00567358">
            <w:pPr>
              <w:pStyle w:val="ConsPlusNormal"/>
              <w:tabs>
                <w:tab w:val="right" w:pos="1134"/>
              </w:tabs>
              <w:spacing w:line="276" w:lineRule="auto"/>
              <w:ind w:left="11"/>
              <w:jc w:val="center"/>
            </w:pPr>
          </w:p>
        </w:tc>
        <w:tc>
          <w:tcPr>
            <w:tcW w:w="4884" w:type="dxa"/>
            <w:vAlign w:val="center"/>
          </w:tcPr>
          <w:p w:rsidR="00567358" w:rsidRPr="00567358" w:rsidRDefault="00567358" w:rsidP="00567358">
            <w:pPr>
              <w:pStyle w:val="ConsPlusNormal"/>
              <w:tabs>
                <w:tab w:val="right" w:pos="1134"/>
              </w:tabs>
              <w:spacing w:line="276" w:lineRule="auto"/>
              <w:ind w:left="11"/>
              <w:jc w:val="center"/>
            </w:pPr>
            <w:r w:rsidRPr="00567358">
              <w:t>1</w:t>
            </w:r>
          </w:p>
        </w:tc>
      </w:tr>
    </w:tbl>
    <w:p w:rsidR="00707F09" w:rsidRPr="00567358" w:rsidRDefault="00707F09" w:rsidP="00567358">
      <w:pPr>
        <w:pStyle w:val="ConsPlusNormal"/>
        <w:tabs>
          <w:tab w:val="left" w:pos="993"/>
        </w:tabs>
        <w:spacing w:line="276" w:lineRule="auto"/>
        <w:ind w:left="709"/>
        <w:jc w:val="both"/>
        <w:rPr>
          <w:color w:val="000000" w:themeColor="text1"/>
        </w:rPr>
      </w:pPr>
    </w:p>
    <w:p w:rsidR="00C54CF0" w:rsidRPr="00567358" w:rsidRDefault="00C54CF0" w:rsidP="00567358">
      <w:pPr>
        <w:tabs>
          <w:tab w:val="left" w:pos="851"/>
          <w:tab w:val="right" w:pos="1134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23D" w:rsidRDefault="006515FA" w:rsidP="00341DC5">
      <w:pPr>
        <w:tabs>
          <w:tab w:val="left" w:pos="0"/>
          <w:tab w:val="left" w:pos="851"/>
          <w:tab w:val="left" w:pos="993"/>
          <w:tab w:val="left" w:pos="6946"/>
          <w:tab w:val="left" w:pos="7230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0D0E60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D0E60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Красногорск</w:t>
      </w:r>
      <w:r w:rsidR="004A11B2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F0023D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85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23D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4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F4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26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="002F5FF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0023D" w:rsidRPr="00313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Волков</w:t>
      </w:r>
    </w:p>
    <w:p w:rsidR="008F7C64" w:rsidRPr="00455BD8" w:rsidRDefault="008F7C64" w:rsidP="00567358">
      <w:pPr>
        <w:tabs>
          <w:tab w:val="left" w:pos="851"/>
          <w:tab w:val="left" w:pos="993"/>
          <w:tab w:val="left" w:pos="6946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B1F" w:rsidRPr="00455BD8" w:rsidRDefault="00E42B1F" w:rsidP="00567358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Верно</w:t>
      </w:r>
    </w:p>
    <w:p w:rsidR="00ED4F30" w:rsidRDefault="00ED4F30" w:rsidP="00567358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Старший инспектор общего отдела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2B1F" w:rsidRDefault="00ED4F30" w:rsidP="00567358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774E7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делами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Ю.Г. Никифорова</w:t>
      </w:r>
    </w:p>
    <w:p w:rsidR="00D268F1" w:rsidRDefault="00D268F1" w:rsidP="00567358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8F1" w:rsidRPr="00455BD8" w:rsidRDefault="00D268F1" w:rsidP="00567358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626C" w:rsidRPr="00455BD8" w:rsidRDefault="000E626C" w:rsidP="00567358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B1F" w:rsidRDefault="00E42B1F" w:rsidP="00567358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                                                              </w:t>
      </w:r>
      <w:r w:rsidR="00A06750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52393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D4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4201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15F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515F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515FA">
        <w:rPr>
          <w:rFonts w:ascii="Times New Roman" w:hAnsi="Times New Roman" w:cs="Times New Roman"/>
          <w:color w:val="000000" w:themeColor="text1"/>
          <w:sz w:val="28"/>
          <w:szCs w:val="28"/>
        </w:rPr>
        <w:t>Черныш</w:t>
      </w:r>
    </w:p>
    <w:p w:rsidR="0039499D" w:rsidRDefault="0039499D" w:rsidP="00567358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F09" w:rsidRDefault="00707F09" w:rsidP="00567358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F09" w:rsidRDefault="00707F09" w:rsidP="00567358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7CC" w:rsidRDefault="000A77CC" w:rsidP="00567358">
      <w:pPr>
        <w:spacing w:after="0" w:line="276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Разослано:  в дело - 2,  прокуратур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4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Бутенко,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Поляков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475CC">
        <w:rPr>
          <w:rFonts w:ascii="Times New Roman" w:hAnsi="Times New Roman" w:cs="Times New Roman"/>
          <w:color w:val="000000" w:themeColor="text1"/>
          <w:sz w:val="28"/>
          <w:szCs w:val="28"/>
        </w:rPr>
        <w:t>Новиков, Строков.</w:t>
      </w:r>
    </w:p>
    <w:p w:rsidR="00707F09" w:rsidRDefault="00707F09" w:rsidP="00C54CF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F7C64" w:rsidRDefault="008F7C64" w:rsidP="008F7C64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DF2A86">
        <w:rPr>
          <w:rFonts w:ascii="Times New Roman" w:hAnsi="Times New Roman"/>
          <w:sz w:val="28"/>
          <w:szCs w:val="28"/>
        </w:rPr>
        <w:t>ЛИСТ СОГЛАСОВАНИЯ</w:t>
      </w:r>
      <w:bookmarkStart w:id="0" w:name="_GoBack"/>
      <w:bookmarkEnd w:id="0"/>
    </w:p>
    <w:p w:rsidR="00567358" w:rsidRDefault="00567358" w:rsidP="00567358">
      <w:pPr>
        <w:spacing w:line="276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567358">
        <w:rPr>
          <w:rFonts w:ascii="Times New Roman" w:hAnsi="Times New Roman" w:cs="Times New Roman"/>
          <w:sz w:val="28"/>
          <w:szCs w:val="28"/>
        </w:rPr>
        <w:t xml:space="preserve">Об установлении и утверждении значения коэффициента </w:t>
      </w:r>
      <w:proofErr w:type="spellStart"/>
      <w:r w:rsidRPr="00567358">
        <w:rPr>
          <w:rFonts w:ascii="Times New Roman" w:hAnsi="Times New Roman" w:cs="Times New Roman"/>
          <w:sz w:val="28"/>
          <w:szCs w:val="28"/>
        </w:rPr>
        <w:t>Ккоркс</w:t>
      </w:r>
      <w:proofErr w:type="spellEnd"/>
      <w:r w:rsidRPr="00567358">
        <w:rPr>
          <w:rFonts w:ascii="Times New Roman" w:hAnsi="Times New Roman" w:cs="Times New Roman"/>
          <w:sz w:val="28"/>
          <w:szCs w:val="28"/>
        </w:rPr>
        <w:t>, в целях применения для расчета платы за предоставление места для создания семейного (родового) захоронения</w:t>
      </w:r>
    </w:p>
    <w:p w:rsidR="008F7C64" w:rsidRDefault="008F7C64" w:rsidP="008F7C64">
      <w:pPr>
        <w:spacing w:line="276" w:lineRule="auto"/>
        <w:ind w:left="567" w:right="42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685"/>
        <w:gridCol w:w="2551"/>
        <w:gridCol w:w="2517"/>
      </w:tblGrid>
      <w:tr w:rsidR="008F7C64" w:rsidRPr="00B525A5" w:rsidTr="00B65A53">
        <w:trPr>
          <w:jc w:val="center"/>
        </w:trPr>
        <w:tc>
          <w:tcPr>
            <w:tcW w:w="1276" w:type="dxa"/>
            <w:vAlign w:val="center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5A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685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5A5">
              <w:rPr>
                <w:rFonts w:ascii="Times New Roman" w:hAnsi="Times New Roman"/>
                <w:sz w:val="28"/>
                <w:szCs w:val="28"/>
              </w:rPr>
              <w:t xml:space="preserve">Суть возражений и предложений </w:t>
            </w:r>
          </w:p>
        </w:tc>
        <w:tc>
          <w:tcPr>
            <w:tcW w:w="2551" w:type="dxa"/>
            <w:vAlign w:val="center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5A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517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5A5">
              <w:rPr>
                <w:rFonts w:ascii="Times New Roman" w:hAnsi="Times New Roman"/>
                <w:sz w:val="28"/>
                <w:szCs w:val="28"/>
              </w:rPr>
              <w:t>Личная подпись с расшифровкой</w:t>
            </w:r>
          </w:p>
        </w:tc>
      </w:tr>
      <w:tr w:rsidR="008F7C64" w:rsidRPr="00B525A5" w:rsidTr="00B65A53">
        <w:trPr>
          <w:trHeight w:val="579"/>
          <w:jc w:val="center"/>
        </w:trPr>
        <w:tc>
          <w:tcPr>
            <w:tcW w:w="1276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F7C64" w:rsidRPr="00B525A5" w:rsidRDefault="008F7C64" w:rsidP="00A635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F7C64" w:rsidRPr="0075758C" w:rsidRDefault="00567358" w:rsidP="00651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по безопасности</w:t>
            </w:r>
            <w:r w:rsidR="00474F44" w:rsidRPr="00D836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17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C64" w:rsidRPr="00B525A5" w:rsidTr="00B65A53">
        <w:trPr>
          <w:trHeight w:val="559"/>
          <w:jc w:val="center"/>
        </w:trPr>
        <w:tc>
          <w:tcPr>
            <w:tcW w:w="1276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F7C64" w:rsidRPr="0075758C" w:rsidRDefault="00567358" w:rsidP="006F0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5758C">
              <w:rPr>
                <w:rFonts w:ascii="Times New Roman" w:hAnsi="Times New Roman"/>
                <w:sz w:val="24"/>
                <w:szCs w:val="24"/>
              </w:rPr>
              <w:t>ачальник правового управления</w:t>
            </w:r>
          </w:p>
        </w:tc>
        <w:tc>
          <w:tcPr>
            <w:tcW w:w="2517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C64" w:rsidRPr="00B525A5" w:rsidTr="00B65A53">
        <w:trPr>
          <w:trHeight w:val="496"/>
          <w:jc w:val="center"/>
        </w:trPr>
        <w:tc>
          <w:tcPr>
            <w:tcW w:w="1276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F7C64" w:rsidRPr="00B525A5" w:rsidRDefault="008F7C64" w:rsidP="00A635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F7C64" w:rsidRPr="0075758C" w:rsidRDefault="00567358" w:rsidP="00567358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2517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C64" w:rsidRPr="00B525A5" w:rsidTr="00567358">
        <w:trPr>
          <w:trHeight w:val="728"/>
          <w:jc w:val="center"/>
        </w:trPr>
        <w:tc>
          <w:tcPr>
            <w:tcW w:w="1276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F7C64" w:rsidRPr="0075758C" w:rsidRDefault="008F7C64" w:rsidP="00D8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C64" w:rsidRPr="00B525A5" w:rsidTr="00567358">
        <w:trPr>
          <w:trHeight w:val="728"/>
          <w:jc w:val="center"/>
        </w:trPr>
        <w:tc>
          <w:tcPr>
            <w:tcW w:w="1276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F7C64" w:rsidRPr="00B525A5" w:rsidRDefault="008F7C64" w:rsidP="00A635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F7C64" w:rsidRPr="0075758C" w:rsidRDefault="008F7C64" w:rsidP="00ED4F30">
            <w:pPr>
              <w:tabs>
                <w:tab w:val="left" w:pos="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C64" w:rsidRPr="00B525A5" w:rsidTr="00567358">
        <w:trPr>
          <w:trHeight w:val="728"/>
          <w:jc w:val="center"/>
        </w:trPr>
        <w:tc>
          <w:tcPr>
            <w:tcW w:w="1276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F7C64" w:rsidRPr="00B525A5" w:rsidRDefault="008F7C64" w:rsidP="00A635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F7C64" w:rsidRPr="0075758C" w:rsidRDefault="008F7C64" w:rsidP="00A6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C64" w:rsidRPr="00B525A5" w:rsidTr="00567358">
        <w:trPr>
          <w:trHeight w:val="728"/>
          <w:jc w:val="center"/>
        </w:trPr>
        <w:tc>
          <w:tcPr>
            <w:tcW w:w="1276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F7C64" w:rsidRPr="00B525A5" w:rsidRDefault="008F7C64" w:rsidP="00A635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C64" w:rsidRPr="008F7C64" w:rsidRDefault="008F7C64" w:rsidP="00B6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7C64" w:rsidRPr="008F7C64" w:rsidSect="00D268F1">
      <w:pgSz w:w="11906" w:h="16838"/>
      <w:pgMar w:top="1134" w:right="851" w:bottom="1134" w:left="1701" w:header="709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A2E" w:rsidRDefault="00E13A2E" w:rsidP="006760C7">
      <w:pPr>
        <w:spacing w:after="0" w:line="240" w:lineRule="auto"/>
      </w:pPr>
      <w:r>
        <w:separator/>
      </w:r>
    </w:p>
  </w:endnote>
  <w:endnote w:type="continuationSeparator" w:id="0">
    <w:p w:rsidR="00E13A2E" w:rsidRDefault="00E13A2E" w:rsidP="0067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A2E" w:rsidRDefault="00E13A2E" w:rsidP="006760C7">
      <w:pPr>
        <w:spacing w:after="0" w:line="240" w:lineRule="auto"/>
      </w:pPr>
      <w:r>
        <w:separator/>
      </w:r>
    </w:p>
  </w:footnote>
  <w:footnote w:type="continuationSeparator" w:id="0">
    <w:p w:rsidR="00E13A2E" w:rsidRDefault="00E13A2E" w:rsidP="00676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756"/>
    <w:multiLevelType w:val="hybridMultilevel"/>
    <w:tmpl w:val="247C2AC4"/>
    <w:lvl w:ilvl="0" w:tplc="32D6874E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F3E3C"/>
    <w:multiLevelType w:val="hybridMultilevel"/>
    <w:tmpl w:val="953C9F92"/>
    <w:lvl w:ilvl="0" w:tplc="524A6B20">
      <w:start w:val="1"/>
      <w:numFmt w:val="decimal"/>
      <w:lvlText w:val="%1."/>
      <w:lvlJc w:val="left"/>
      <w:pPr>
        <w:ind w:left="1070" w:hanging="360"/>
      </w:pPr>
      <w:rPr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2F52F2"/>
    <w:multiLevelType w:val="hybridMultilevel"/>
    <w:tmpl w:val="C8B42B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C34CC8"/>
    <w:multiLevelType w:val="hybridMultilevel"/>
    <w:tmpl w:val="C962466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D6C"/>
    <w:rsid w:val="0001353B"/>
    <w:rsid w:val="0002651A"/>
    <w:rsid w:val="00074F76"/>
    <w:rsid w:val="00082811"/>
    <w:rsid w:val="000A77CC"/>
    <w:rsid w:val="000D0E60"/>
    <w:rsid w:val="000D3143"/>
    <w:rsid w:val="000E1A09"/>
    <w:rsid w:val="000E626C"/>
    <w:rsid w:val="00126760"/>
    <w:rsid w:val="00140554"/>
    <w:rsid w:val="00150778"/>
    <w:rsid w:val="00151F39"/>
    <w:rsid w:val="001661F3"/>
    <w:rsid w:val="00167CE6"/>
    <w:rsid w:val="00182148"/>
    <w:rsid w:val="001B0CCF"/>
    <w:rsid w:val="001B35BD"/>
    <w:rsid w:val="001F5B01"/>
    <w:rsid w:val="00201C73"/>
    <w:rsid w:val="00205220"/>
    <w:rsid w:val="002106CE"/>
    <w:rsid w:val="0022174D"/>
    <w:rsid w:val="00223EB4"/>
    <w:rsid w:val="0024465C"/>
    <w:rsid w:val="002475CC"/>
    <w:rsid w:val="00257B84"/>
    <w:rsid w:val="002639E1"/>
    <w:rsid w:val="00281EAC"/>
    <w:rsid w:val="00285EA3"/>
    <w:rsid w:val="002879BE"/>
    <w:rsid w:val="002C3484"/>
    <w:rsid w:val="002E04F4"/>
    <w:rsid w:val="002E1557"/>
    <w:rsid w:val="002E323B"/>
    <w:rsid w:val="002F5FF0"/>
    <w:rsid w:val="00313D54"/>
    <w:rsid w:val="00323703"/>
    <w:rsid w:val="00341DC5"/>
    <w:rsid w:val="003555A3"/>
    <w:rsid w:val="00372EAB"/>
    <w:rsid w:val="00391A42"/>
    <w:rsid w:val="0039499D"/>
    <w:rsid w:val="003B0DED"/>
    <w:rsid w:val="003B1B79"/>
    <w:rsid w:val="003D60A0"/>
    <w:rsid w:val="00421F33"/>
    <w:rsid w:val="00455BD8"/>
    <w:rsid w:val="00460009"/>
    <w:rsid w:val="004613E8"/>
    <w:rsid w:val="00463386"/>
    <w:rsid w:val="00473905"/>
    <w:rsid w:val="00474F44"/>
    <w:rsid w:val="00480D46"/>
    <w:rsid w:val="0048519C"/>
    <w:rsid w:val="00485AF0"/>
    <w:rsid w:val="004A11B2"/>
    <w:rsid w:val="004C0E20"/>
    <w:rsid w:val="004D1E5B"/>
    <w:rsid w:val="004D7EB2"/>
    <w:rsid w:val="004F6D53"/>
    <w:rsid w:val="005105D7"/>
    <w:rsid w:val="005125BC"/>
    <w:rsid w:val="00537E35"/>
    <w:rsid w:val="00554201"/>
    <w:rsid w:val="00567358"/>
    <w:rsid w:val="0057177D"/>
    <w:rsid w:val="005B656D"/>
    <w:rsid w:val="005D3118"/>
    <w:rsid w:val="005E6478"/>
    <w:rsid w:val="005F02E2"/>
    <w:rsid w:val="00626765"/>
    <w:rsid w:val="00641588"/>
    <w:rsid w:val="00642430"/>
    <w:rsid w:val="006515FA"/>
    <w:rsid w:val="0066132E"/>
    <w:rsid w:val="006721CB"/>
    <w:rsid w:val="006741A5"/>
    <w:rsid w:val="006760C7"/>
    <w:rsid w:val="006826F3"/>
    <w:rsid w:val="006869F2"/>
    <w:rsid w:val="006A4CDF"/>
    <w:rsid w:val="006C2FAB"/>
    <w:rsid w:val="006C412A"/>
    <w:rsid w:val="006F050A"/>
    <w:rsid w:val="006F0750"/>
    <w:rsid w:val="007024B7"/>
    <w:rsid w:val="007029A7"/>
    <w:rsid w:val="00707F09"/>
    <w:rsid w:val="0071495F"/>
    <w:rsid w:val="00715A89"/>
    <w:rsid w:val="00715CAC"/>
    <w:rsid w:val="00731F23"/>
    <w:rsid w:val="0073523A"/>
    <w:rsid w:val="00752156"/>
    <w:rsid w:val="0076383A"/>
    <w:rsid w:val="007730A6"/>
    <w:rsid w:val="00775C3C"/>
    <w:rsid w:val="0079280C"/>
    <w:rsid w:val="007A6D7C"/>
    <w:rsid w:val="00810063"/>
    <w:rsid w:val="008203DA"/>
    <w:rsid w:val="008270E3"/>
    <w:rsid w:val="0083685F"/>
    <w:rsid w:val="0083704A"/>
    <w:rsid w:val="00854B96"/>
    <w:rsid w:val="0086131C"/>
    <w:rsid w:val="0086706F"/>
    <w:rsid w:val="00872B22"/>
    <w:rsid w:val="008966F1"/>
    <w:rsid w:val="008A4DAA"/>
    <w:rsid w:val="008A6C56"/>
    <w:rsid w:val="008B0D79"/>
    <w:rsid w:val="008B55A9"/>
    <w:rsid w:val="008E00D3"/>
    <w:rsid w:val="008E1CE9"/>
    <w:rsid w:val="008E580F"/>
    <w:rsid w:val="008F46B0"/>
    <w:rsid w:val="008F7C64"/>
    <w:rsid w:val="00900F51"/>
    <w:rsid w:val="00916A80"/>
    <w:rsid w:val="00926837"/>
    <w:rsid w:val="009504DD"/>
    <w:rsid w:val="00973607"/>
    <w:rsid w:val="009774E7"/>
    <w:rsid w:val="009C51FE"/>
    <w:rsid w:val="009E2F65"/>
    <w:rsid w:val="009F06FB"/>
    <w:rsid w:val="00A00CCD"/>
    <w:rsid w:val="00A06750"/>
    <w:rsid w:val="00A376C2"/>
    <w:rsid w:val="00A41C66"/>
    <w:rsid w:val="00A52F63"/>
    <w:rsid w:val="00A650EF"/>
    <w:rsid w:val="00A9766E"/>
    <w:rsid w:val="00AA013D"/>
    <w:rsid w:val="00AA4718"/>
    <w:rsid w:val="00AF198A"/>
    <w:rsid w:val="00AF40A3"/>
    <w:rsid w:val="00AF655A"/>
    <w:rsid w:val="00B02CBD"/>
    <w:rsid w:val="00B03F67"/>
    <w:rsid w:val="00B2725C"/>
    <w:rsid w:val="00B326C0"/>
    <w:rsid w:val="00B41A6B"/>
    <w:rsid w:val="00B41F3E"/>
    <w:rsid w:val="00B46068"/>
    <w:rsid w:val="00B53BF5"/>
    <w:rsid w:val="00B54F33"/>
    <w:rsid w:val="00B65A53"/>
    <w:rsid w:val="00B71C1E"/>
    <w:rsid w:val="00B841F7"/>
    <w:rsid w:val="00B84F43"/>
    <w:rsid w:val="00B90D5C"/>
    <w:rsid w:val="00BA675A"/>
    <w:rsid w:val="00BB4AE3"/>
    <w:rsid w:val="00BC5464"/>
    <w:rsid w:val="00BC6B0A"/>
    <w:rsid w:val="00BF3352"/>
    <w:rsid w:val="00BF746A"/>
    <w:rsid w:val="00C00980"/>
    <w:rsid w:val="00C00DAB"/>
    <w:rsid w:val="00C04251"/>
    <w:rsid w:val="00C20750"/>
    <w:rsid w:val="00C349A7"/>
    <w:rsid w:val="00C447E8"/>
    <w:rsid w:val="00C50B1A"/>
    <w:rsid w:val="00C52393"/>
    <w:rsid w:val="00C54CF0"/>
    <w:rsid w:val="00C67330"/>
    <w:rsid w:val="00C8570F"/>
    <w:rsid w:val="00C94858"/>
    <w:rsid w:val="00CB3732"/>
    <w:rsid w:val="00CB798B"/>
    <w:rsid w:val="00CC43F8"/>
    <w:rsid w:val="00CC44AB"/>
    <w:rsid w:val="00CC4ECC"/>
    <w:rsid w:val="00CF6B21"/>
    <w:rsid w:val="00D0313F"/>
    <w:rsid w:val="00D268F1"/>
    <w:rsid w:val="00D3028A"/>
    <w:rsid w:val="00D41D6C"/>
    <w:rsid w:val="00D4637F"/>
    <w:rsid w:val="00D82242"/>
    <w:rsid w:val="00D836C1"/>
    <w:rsid w:val="00D93322"/>
    <w:rsid w:val="00DA79AB"/>
    <w:rsid w:val="00DC4352"/>
    <w:rsid w:val="00DE785E"/>
    <w:rsid w:val="00DF250F"/>
    <w:rsid w:val="00DF4FBF"/>
    <w:rsid w:val="00DF6511"/>
    <w:rsid w:val="00E05F1C"/>
    <w:rsid w:val="00E13A2E"/>
    <w:rsid w:val="00E230B4"/>
    <w:rsid w:val="00E3182D"/>
    <w:rsid w:val="00E42B1F"/>
    <w:rsid w:val="00E71DEE"/>
    <w:rsid w:val="00E766FE"/>
    <w:rsid w:val="00EC2C17"/>
    <w:rsid w:val="00ED3C5F"/>
    <w:rsid w:val="00ED4F30"/>
    <w:rsid w:val="00EE3924"/>
    <w:rsid w:val="00F0023D"/>
    <w:rsid w:val="00F22059"/>
    <w:rsid w:val="00F24113"/>
    <w:rsid w:val="00F26178"/>
    <w:rsid w:val="00F4184B"/>
    <w:rsid w:val="00F47477"/>
    <w:rsid w:val="00F75F06"/>
    <w:rsid w:val="00F86B48"/>
    <w:rsid w:val="00F928EF"/>
    <w:rsid w:val="00F9746F"/>
    <w:rsid w:val="00FA2825"/>
    <w:rsid w:val="00FE2B80"/>
    <w:rsid w:val="00FE469D"/>
    <w:rsid w:val="00FE6976"/>
    <w:rsid w:val="00FF4190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0023D"/>
    <w:rPr>
      <w:rFonts w:ascii="Times New Roman" w:hAnsi="Times New Roman" w:cs="Times New Roman"/>
      <w:sz w:val="62"/>
      <w:szCs w:val="62"/>
    </w:rPr>
  </w:style>
  <w:style w:type="paragraph" w:customStyle="1" w:styleId="ConsPlusNormal">
    <w:name w:val="ConsPlusNormal"/>
    <w:rsid w:val="00B84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8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E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60C7"/>
  </w:style>
  <w:style w:type="paragraph" w:styleId="a8">
    <w:name w:val="footer"/>
    <w:basedOn w:val="a"/>
    <w:link w:val="a9"/>
    <w:uiPriority w:val="99"/>
    <w:unhideWhenUsed/>
    <w:rsid w:val="0067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6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0023D"/>
    <w:rPr>
      <w:rFonts w:ascii="Times New Roman" w:hAnsi="Times New Roman" w:cs="Times New Roman"/>
      <w:sz w:val="62"/>
      <w:szCs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5A58-52B2-44F9-B59A-D5244AD8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ЛИСТ СОГЛАСОВАНИЯ</vt:lpstr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2022-04-01T07:49:00Z</cp:lastPrinted>
  <dcterms:created xsi:type="dcterms:W3CDTF">2015-12-03T08:28:00Z</dcterms:created>
  <dcterms:modified xsi:type="dcterms:W3CDTF">2022-04-01T08:13:00Z</dcterms:modified>
</cp:coreProperties>
</file>