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80" w:rsidRPr="00454649" w:rsidRDefault="007F4258" w:rsidP="00454649">
      <w:pPr>
        <w:spacing w:line="276" w:lineRule="auto"/>
        <w:ind w:left="5387"/>
        <w:jc w:val="both"/>
        <w:rPr>
          <w:szCs w:val="24"/>
        </w:rPr>
      </w:pPr>
      <w:bookmarkStart w:id="0" w:name="_GoBack"/>
      <w:bookmarkEnd w:id="0"/>
      <w:r>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9" o:title=""/>
                                </v:shape>
                                <o:OLEObject Type="Embed" ProgID="PBrush" ShapeID="_x0000_i1025" DrawAspect="Content" ObjectID="_1738413090"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в редакции от 20.02.2023 №11-03/15</w:t>
                            </w:r>
                            <w:r w:rsidRPr="00283CDF">
                              <w:rPr>
                                <w:sz w:val="22"/>
                                <w:szCs w:val="22"/>
                                <w:lang w:val="en-US"/>
                              </w:rPr>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9" o:title=""/>
                          </v:shape>
                          <o:OLEObject Type="Embed" ProgID="PBrush" ShapeID="_x0000_i1025" DrawAspect="Content" ObjectID="_1738413090" r:id="rId11"/>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в редакции от 20.02.2023 №11-03/15</w:t>
                      </w:r>
                      <w:r w:rsidRPr="00283CDF">
                        <w:rPr>
                          <w:sz w:val="22"/>
                          <w:szCs w:val="22"/>
                          <w:lang w:val="en-US"/>
                        </w:rPr>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636893" w:rsidRDefault="00283CDF" w:rsidP="00636893">
      <w:pPr>
        <w:jc w:val="center"/>
        <w:rPr>
          <w:szCs w:val="24"/>
        </w:rPr>
      </w:pPr>
      <w:r w:rsidRPr="00283CDF">
        <w:rPr>
          <w:szCs w:val="24"/>
        </w:rPr>
        <w:t xml:space="preserve">(в редакции от </w:t>
      </w:r>
      <w:r w:rsidR="00BB30A2">
        <w:rPr>
          <w:szCs w:val="24"/>
        </w:rPr>
        <w:t>20</w:t>
      </w:r>
      <w:r w:rsidRPr="00283CDF">
        <w:rPr>
          <w:szCs w:val="24"/>
        </w:rPr>
        <w:t>.</w:t>
      </w:r>
      <w:r w:rsidR="00BB30A2">
        <w:rPr>
          <w:szCs w:val="24"/>
        </w:rPr>
        <w:t>0</w:t>
      </w:r>
      <w:r w:rsidRPr="00283CDF">
        <w:rPr>
          <w:szCs w:val="24"/>
        </w:rPr>
        <w:t>2.202</w:t>
      </w:r>
      <w:r w:rsidR="00BB30A2">
        <w:rPr>
          <w:szCs w:val="24"/>
        </w:rPr>
        <w:t>3 №11-03/15</w:t>
      </w:r>
      <w:r w:rsidRPr="00283CDF">
        <w:rPr>
          <w:szCs w:val="24"/>
        </w:rPr>
        <w:t>)</w:t>
      </w:r>
    </w:p>
    <w:p w:rsidR="00636893" w:rsidRDefault="00636893"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69679D">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69679D">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69679D">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69679D">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69679D">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69679D">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69679D">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69679D">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69679D">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B30A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bl>
    <w:p w:rsidR="005D3170" w:rsidRPr="00454649" w:rsidRDefault="005D3170" w:rsidP="00161EA9">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66" w:rsidRDefault="00DA0A66" w:rsidP="008E5A81">
      <w:r>
        <w:separator/>
      </w:r>
    </w:p>
  </w:endnote>
  <w:endnote w:type="continuationSeparator" w:id="0">
    <w:p w:rsidR="00DA0A66" w:rsidRDefault="00DA0A66"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66" w:rsidRDefault="00DA0A66" w:rsidP="008E5A81">
      <w:r>
        <w:separator/>
      </w:r>
    </w:p>
  </w:footnote>
  <w:footnote w:type="continuationSeparator" w:id="0">
    <w:p w:rsidR="00DA0A66" w:rsidRDefault="00DA0A66"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A0322"/>
    <w:rsid w:val="001B423F"/>
    <w:rsid w:val="001C1BB3"/>
    <w:rsid w:val="001C5DD1"/>
    <w:rsid w:val="001D24F0"/>
    <w:rsid w:val="00204B49"/>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54649"/>
    <w:rsid w:val="00462225"/>
    <w:rsid w:val="0047209E"/>
    <w:rsid w:val="00482C55"/>
    <w:rsid w:val="00484315"/>
    <w:rsid w:val="00486B4E"/>
    <w:rsid w:val="00495C35"/>
    <w:rsid w:val="004A66F1"/>
    <w:rsid w:val="004A7F22"/>
    <w:rsid w:val="004E0132"/>
    <w:rsid w:val="004E0BDD"/>
    <w:rsid w:val="004F06D3"/>
    <w:rsid w:val="004F2B16"/>
    <w:rsid w:val="004F7CE0"/>
    <w:rsid w:val="005270A6"/>
    <w:rsid w:val="00531D39"/>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76A6"/>
    <w:rsid w:val="00636893"/>
    <w:rsid w:val="006539A5"/>
    <w:rsid w:val="00680946"/>
    <w:rsid w:val="00685AF1"/>
    <w:rsid w:val="0069679D"/>
    <w:rsid w:val="006A5963"/>
    <w:rsid w:val="006C1DE5"/>
    <w:rsid w:val="007307AF"/>
    <w:rsid w:val="00735FBD"/>
    <w:rsid w:val="00772B36"/>
    <w:rsid w:val="00775D0B"/>
    <w:rsid w:val="007874F9"/>
    <w:rsid w:val="007955ED"/>
    <w:rsid w:val="007B11DB"/>
    <w:rsid w:val="007F0FF9"/>
    <w:rsid w:val="007F4258"/>
    <w:rsid w:val="00806349"/>
    <w:rsid w:val="00821638"/>
    <w:rsid w:val="008279E7"/>
    <w:rsid w:val="00835FF1"/>
    <w:rsid w:val="00844E61"/>
    <w:rsid w:val="008558ED"/>
    <w:rsid w:val="00862B17"/>
    <w:rsid w:val="00863BDD"/>
    <w:rsid w:val="00874011"/>
    <w:rsid w:val="008A13D3"/>
    <w:rsid w:val="008A6461"/>
    <w:rsid w:val="008B2E20"/>
    <w:rsid w:val="008B44A6"/>
    <w:rsid w:val="008C5B24"/>
    <w:rsid w:val="008E5A81"/>
    <w:rsid w:val="00900C9A"/>
    <w:rsid w:val="0091475B"/>
    <w:rsid w:val="00943BBD"/>
    <w:rsid w:val="00971210"/>
    <w:rsid w:val="0097468C"/>
    <w:rsid w:val="00983551"/>
    <w:rsid w:val="00994D14"/>
    <w:rsid w:val="00997315"/>
    <w:rsid w:val="009A2E16"/>
    <w:rsid w:val="009A63EB"/>
    <w:rsid w:val="009B2573"/>
    <w:rsid w:val="00A32923"/>
    <w:rsid w:val="00A57628"/>
    <w:rsid w:val="00A57C75"/>
    <w:rsid w:val="00A72C74"/>
    <w:rsid w:val="00A905E7"/>
    <w:rsid w:val="00A93F06"/>
    <w:rsid w:val="00A9726E"/>
    <w:rsid w:val="00AA0A34"/>
    <w:rsid w:val="00AA3576"/>
    <w:rsid w:val="00AB7775"/>
    <w:rsid w:val="00AC1076"/>
    <w:rsid w:val="00AC3C23"/>
    <w:rsid w:val="00AC3F3F"/>
    <w:rsid w:val="00AC76E5"/>
    <w:rsid w:val="00AC7AE6"/>
    <w:rsid w:val="00AD6E97"/>
    <w:rsid w:val="00AF79C0"/>
    <w:rsid w:val="00AF79FD"/>
    <w:rsid w:val="00B0293E"/>
    <w:rsid w:val="00B2733E"/>
    <w:rsid w:val="00B32723"/>
    <w:rsid w:val="00B33755"/>
    <w:rsid w:val="00B40FAA"/>
    <w:rsid w:val="00B52DD8"/>
    <w:rsid w:val="00B54DFD"/>
    <w:rsid w:val="00B67DD5"/>
    <w:rsid w:val="00B771E4"/>
    <w:rsid w:val="00B77C4E"/>
    <w:rsid w:val="00BB30A2"/>
    <w:rsid w:val="00BC4059"/>
    <w:rsid w:val="00BD104A"/>
    <w:rsid w:val="00BD1E70"/>
    <w:rsid w:val="00BE67BA"/>
    <w:rsid w:val="00C10D53"/>
    <w:rsid w:val="00C31F67"/>
    <w:rsid w:val="00C47891"/>
    <w:rsid w:val="00C6689A"/>
    <w:rsid w:val="00C712C3"/>
    <w:rsid w:val="00C717F1"/>
    <w:rsid w:val="00C72147"/>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A0A66"/>
    <w:rsid w:val="00DA64B5"/>
    <w:rsid w:val="00DD3DD9"/>
    <w:rsid w:val="00DD6E25"/>
    <w:rsid w:val="00DE44E2"/>
    <w:rsid w:val="00E068C7"/>
    <w:rsid w:val="00E1575D"/>
    <w:rsid w:val="00E21AE8"/>
    <w:rsid w:val="00E258CA"/>
    <w:rsid w:val="00E3527B"/>
    <w:rsid w:val="00E67E58"/>
    <w:rsid w:val="00E75CF7"/>
    <w:rsid w:val="00E774ED"/>
    <w:rsid w:val="00EA0B41"/>
    <w:rsid w:val="00EB6918"/>
    <w:rsid w:val="00F171C7"/>
    <w:rsid w:val="00F241EA"/>
    <w:rsid w:val="00F30F54"/>
    <w:rsid w:val="00F3287D"/>
    <w:rsid w:val="00F33751"/>
    <w:rsid w:val="00F5590E"/>
    <w:rsid w:val="00F71322"/>
    <w:rsid w:val="00F838DF"/>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4469-5DAE-4493-A48F-A7BB6FEE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Жабинский В.В.</dc:creator>
  <cp:lastModifiedBy>Новиков ИВ</cp:lastModifiedBy>
  <cp:revision>2</cp:revision>
  <cp:lastPrinted>2021-11-02T06:57:00Z</cp:lastPrinted>
  <dcterms:created xsi:type="dcterms:W3CDTF">2023-02-20T12:45:00Z</dcterms:created>
  <dcterms:modified xsi:type="dcterms:W3CDTF">2023-02-20T12:45:00Z</dcterms:modified>
</cp:coreProperties>
</file>