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85DD9" w14:textId="77777777" w:rsidR="00756FC2" w:rsidRDefault="00756FC2" w:rsidP="00756FC2">
      <w:pPr>
        <w:pStyle w:val="a3"/>
        <w:spacing w:before="0" w:beforeAutospacing="0" w:after="0" w:afterAutospacing="0"/>
        <w:ind w:firstLine="709"/>
        <w:jc w:val="center"/>
      </w:pPr>
    </w:p>
    <w:p w14:paraId="53452AAB" w14:textId="77777777" w:rsidR="00756FC2" w:rsidRDefault="00756FC2" w:rsidP="00756FC2">
      <w:pPr>
        <w:pStyle w:val="a3"/>
        <w:spacing w:before="0" w:beforeAutospacing="0" w:after="0" w:afterAutospacing="0"/>
        <w:ind w:firstLine="709"/>
        <w:jc w:val="center"/>
      </w:pPr>
    </w:p>
    <w:p w14:paraId="1F82BDFC" w14:textId="77777777" w:rsidR="00756FC2" w:rsidRDefault="00756FC2" w:rsidP="00756FC2">
      <w:pPr>
        <w:pStyle w:val="a3"/>
        <w:spacing w:before="0" w:beforeAutospacing="0" w:after="0" w:afterAutospacing="0"/>
        <w:ind w:firstLine="709"/>
        <w:jc w:val="center"/>
      </w:pPr>
    </w:p>
    <w:p w14:paraId="75BF3A8B" w14:textId="77777777" w:rsidR="00756FC2" w:rsidRDefault="00756FC2" w:rsidP="00756FC2">
      <w:pPr>
        <w:pStyle w:val="a3"/>
        <w:spacing w:before="0" w:beforeAutospacing="0" w:after="0" w:afterAutospacing="0"/>
        <w:ind w:firstLine="709"/>
        <w:jc w:val="center"/>
      </w:pPr>
    </w:p>
    <w:p w14:paraId="4435EA12" w14:textId="77777777" w:rsidR="00756FC2" w:rsidRDefault="00756FC2" w:rsidP="00756FC2">
      <w:pPr>
        <w:pStyle w:val="a3"/>
        <w:spacing w:before="0" w:beforeAutospacing="0" w:after="0" w:afterAutospacing="0"/>
        <w:ind w:firstLine="709"/>
        <w:jc w:val="center"/>
      </w:pPr>
    </w:p>
    <w:p w14:paraId="6569AE38" w14:textId="77777777" w:rsidR="00756FC2" w:rsidRDefault="00756FC2" w:rsidP="00756FC2">
      <w:pPr>
        <w:pStyle w:val="a3"/>
        <w:spacing w:before="0" w:beforeAutospacing="0" w:after="0" w:afterAutospacing="0"/>
      </w:pPr>
    </w:p>
    <w:p w14:paraId="224D8771" w14:textId="77777777" w:rsidR="00756FC2" w:rsidRDefault="00756FC2" w:rsidP="00756FC2">
      <w:pPr>
        <w:pStyle w:val="a3"/>
        <w:spacing w:before="0" w:beforeAutospacing="0" w:after="0" w:afterAutospacing="0"/>
        <w:ind w:firstLine="709"/>
        <w:jc w:val="center"/>
      </w:pPr>
    </w:p>
    <w:p w14:paraId="1351BF83" w14:textId="77777777" w:rsidR="00756FC2" w:rsidRDefault="00756FC2" w:rsidP="00756FC2">
      <w:pPr>
        <w:pStyle w:val="a3"/>
        <w:spacing w:before="0" w:beforeAutospacing="0" w:after="0" w:afterAutospacing="0"/>
        <w:ind w:firstLine="709"/>
        <w:jc w:val="center"/>
      </w:pPr>
    </w:p>
    <w:p w14:paraId="422CC6AD" w14:textId="77777777" w:rsidR="00756FC2" w:rsidRDefault="00756FC2" w:rsidP="00756FC2">
      <w:pPr>
        <w:pStyle w:val="a3"/>
        <w:spacing w:before="0" w:beforeAutospacing="0" w:after="0" w:afterAutospacing="0"/>
        <w:ind w:firstLine="709"/>
        <w:jc w:val="center"/>
      </w:pPr>
      <w:r>
        <w:t> </w:t>
      </w:r>
    </w:p>
    <w:p w14:paraId="4ACEBCA1" w14:textId="77777777" w:rsidR="00756FC2" w:rsidRPr="007A2AE5" w:rsidRDefault="00756FC2" w:rsidP="00756FC2">
      <w:pPr>
        <w:pStyle w:val="a3"/>
        <w:spacing w:before="0" w:beforeAutospacing="0" w:after="0" w:afterAutospacing="0"/>
        <w:ind w:firstLine="709"/>
        <w:jc w:val="center"/>
      </w:pPr>
      <w:r w:rsidRPr="007A2AE5">
        <w:rPr>
          <w:color w:val="000000"/>
          <w:sz w:val="28"/>
          <w:szCs w:val="28"/>
        </w:rPr>
        <w:t xml:space="preserve">Об утверждении </w:t>
      </w:r>
      <w:r>
        <w:rPr>
          <w:color w:val="000000"/>
          <w:sz w:val="28"/>
          <w:szCs w:val="28"/>
        </w:rPr>
        <w:t>П</w:t>
      </w:r>
      <w:r w:rsidRPr="007A2AE5">
        <w:rPr>
          <w:color w:val="000000"/>
          <w:sz w:val="28"/>
          <w:szCs w:val="28"/>
        </w:rPr>
        <w:t>оложения об организации и осуществлении внутреннего финансового аудита</w:t>
      </w:r>
      <w:r>
        <w:rPr>
          <w:color w:val="000000"/>
          <w:sz w:val="28"/>
          <w:szCs w:val="28"/>
        </w:rPr>
        <w:t xml:space="preserve"> в</w:t>
      </w:r>
      <w:r w:rsidRPr="007A2AE5">
        <w:rPr>
          <w:color w:val="000000"/>
          <w:sz w:val="28"/>
          <w:szCs w:val="28"/>
        </w:rPr>
        <w:t xml:space="preserve"> администраци</w:t>
      </w:r>
      <w:r>
        <w:rPr>
          <w:color w:val="000000"/>
          <w:sz w:val="28"/>
          <w:szCs w:val="28"/>
        </w:rPr>
        <w:t>и</w:t>
      </w:r>
      <w:r w:rsidRPr="007A2AE5">
        <w:rPr>
          <w:color w:val="000000"/>
          <w:sz w:val="28"/>
          <w:szCs w:val="28"/>
        </w:rPr>
        <w:t xml:space="preserve"> городского округа Красногорск Московской области</w:t>
      </w:r>
    </w:p>
    <w:p w14:paraId="782747E6" w14:textId="77777777" w:rsidR="00756FC2" w:rsidRPr="007A2AE5" w:rsidRDefault="00756FC2" w:rsidP="00756FC2">
      <w:pPr>
        <w:pStyle w:val="a3"/>
        <w:spacing w:before="0" w:beforeAutospacing="0" w:after="0" w:afterAutospacing="0"/>
        <w:ind w:firstLine="709"/>
        <w:jc w:val="both"/>
      </w:pPr>
      <w:r w:rsidRPr="007A2AE5">
        <w:t> </w:t>
      </w:r>
    </w:p>
    <w:p w14:paraId="15FE3379" w14:textId="77777777" w:rsidR="00756FC2" w:rsidRDefault="00756FC2" w:rsidP="00756FC2">
      <w:pPr>
        <w:pStyle w:val="a3"/>
        <w:spacing w:before="0" w:beforeAutospacing="0" w:after="0" w:afterAutospacing="0"/>
        <w:ind w:firstLine="709"/>
        <w:jc w:val="both"/>
      </w:pPr>
      <w:r>
        <w:t> </w:t>
      </w:r>
    </w:p>
    <w:p w14:paraId="5409789B" w14:textId="77777777" w:rsidR="00756FC2" w:rsidRDefault="00756FC2" w:rsidP="00756FC2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8"/>
          <w:szCs w:val="28"/>
        </w:rPr>
        <w:t>В соответствии со статьей 160.2-1 Бюджетного кодекса Российской Федерации, Федеральным стандартом «Определения, принципы и задачи внутреннего финансового аудита», утвержденного приказом Минфина от 21.11.2019 № 196н, разд. II Методических рекомендаций, доведенных письмом Минфина от 28.04.2023 № 02-10-13/40269, федеральными стандартами внутреннего финансового аудита, утвержденными приказами Министерства финансов Российской Федерации от 18.12.2019 N 237н, 21.11.2019 N 196н, 21.11.2019 N 195н, 05.08.2020 N 160н, 22.05.2020 N 91н, 01.09.2021 № 120н, с учетом изменений в федеральные стандарты ВФА, утвержденных приказами Минфина России от 18.07.2023 № 118н и от 04.10.2023 № 158н постановляю:</w:t>
      </w:r>
    </w:p>
    <w:p w14:paraId="0A64AF60" w14:textId="77777777" w:rsidR="00756FC2" w:rsidRDefault="00756FC2" w:rsidP="00756FC2">
      <w:pPr>
        <w:pStyle w:val="a3"/>
        <w:spacing w:before="0" w:beforeAutospacing="0" w:after="0" w:afterAutospacing="0" w:line="273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Положение об организации и осуществлении внутреннего финансового аудита в администрации городского округа Красногорск Московской области (приложение №1). </w:t>
      </w:r>
    </w:p>
    <w:p w14:paraId="53A899EA" w14:textId="77777777" w:rsidR="00756FC2" w:rsidRPr="00756FC2" w:rsidRDefault="00756FC2" w:rsidP="00756FC2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756FC2">
        <w:rPr>
          <w:rFonts w:ascii="Times New Roman" w:eastAsia="Calibri" w:hAnsi="Times New Roman" w:cs="Times New Roman"/>
          <w:sz w:val="28"/>
          <w:szCs w:val="28"/>
          <w:lang w:val="ru-RU"/>
        </w:rPr>
        <w:t>2.  Обеспечить размещение настоящего постановления на официальном сайте администрации городского округа Красногорск Московской области.</w:t>
      </w:r>
    </w:p>
    <w:p w14:paraId="06258E03" w14:textId="77777777" w:rsidR="00756FC2" w:rsidRDefault="00756FC2" w:rsidP="00756FC2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8"/>
          <w:szCs w:val="28"/>
        </w:rPr>
        <w:t>3. Настоящее постановление вступает в силу с даты подписания, и распространяется на правоотношения, возникшие с 1 января 2024 года.</w:t>
      </w:r>
    </w:p>
    <w:p w14:paraId="69C5C10F" w14:textId="77777777" w:rsidR="00756FC2" w:rsidRDefault="00756FC2" w:rsidP="00756FC2">
      <w:pPr>
        <w:pStyle w:val="a3"/>
        <w:spacing w:before="0" w:beforeAutospacing="0" w:after="0" w:afterAutospacing="0" w:line="273" w:lineRule="auto"/>
        <w:ind w:firstLine="709"/>
        <w:jc w:val="both"/>
      </w:pPr>
      <w:r>
        <w:rPr>
          <w:color w:val="000000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14:paraId="628C5096" w14:textId="77777777" w:rsidR="00756FC2" w:rsidRDefault="00756FC2" w:rsidP="00756FC2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9F41238" w14:textId="5DB59A6B" w:rsidR="00756FC2" w:rsidRDefault="00756FC2" w:rsidP="00756FC2">
      <w:pPr>
        <w:pStyle w:val="a3"/>
        <w:spacing w:before="0" w:beforeAutospacing="0" w:after="0" w:afterAutospacing="0" w:line="273" w:lineRule="auto"/>
        <w:jc w:val="both"/>
      </w:pPr>
      <w:r>
        <w:rPr>
          <w:color w:val="000000"/>
          <w:sz w:val="28"/>
          <w:szCs w:val="28"/>
        </w:rPr>
        <w:t>Глава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городского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округа </w:t>
      </w:r>
      <w:r>
        <w:rPr>
          <w:color w:val="000000"/>
          <w:sz w:val="28"/>
          <w:szCs w:val="28"/>
        </w:rPr>
        <w:t>Крас</w:t>
      </w:r>
      <w:r>
        <w:rPr>
          <w:color w:val="000000"/>
          <w:sz w:val="28"/>
          <w:szCs w:val="28"/>
        </w:rPr>
        <w:t>ногорск                                         Д.В. Волков</w:t>
      </w:r>
    </w:p>
    <w:p w14:paraId="736BB1A0" w14:textId="77777777" w:rsidR="00756FC2" w:rsidRDefault="00756FC2" w:rsidP="00756FC2">
      <w:pPr>
        <w:pStyle w:val="a3"/>
        <w:spacing w:before="0" w:beforeAutospacing="0" w:after="0" w:afterAutospacing="0" w:line="273" w:lineRule="auto"/>
        <w:ind w:firstLine="709"/>
        <w:jc w:val="both"/>
      </w:pPr>
    </w:p>
    <w:p w14:paraId="1DB26F5C" w14:textId="77777777" w:rsidR="00756FC2" w:rsidRDefault="00756FC2" w:rsidP="00756FC2">
      <w:pPr>
        <w:pStyle w:val="a3"/>
        <w:spacing w:before="0" w:beforeAutospacing="0" w:after="0" w:afterAutospacing="0" w:line="273" w:lineRule="auto"/>
        <w:jc w:val="both"/>
      </w:pPr>
    </w:p>
    <w:p w14:paraId="6166D5E4" w14:textId="77777777" w:rsidR="00756FC2" w:rsidRDefault="00756FC2" w:rsidP="00756FC2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412871E1" w14:textId="77777777" w:rsidR="00756FC2" w:rsidRPr="005E243B" w:rsidRDefault="00756FC2" w:rsidP="00756FC2">
      <w:pPr>
        <w:pStyle w:val="a3"/>
        <w:spacing w:before="0" w:beforeAutospacing="0" w:after="0" w:afterAutospacing="0" w:line="273" w:lineRule="auto"/>
        <w:jc w:val="both"/>
      </w:pPr>
      <w:r w:rsidRPr="00A139E3">
        <w:rPr>
          <w:sz w:val="28"/>
          <w:szCs w:val="20"/>
        </w:rPr>
        <w:lastRenderedPageBreak/>
        <w:t>Верно</w:t>
      </w:r>
    </w:p>
    <w:p w14:paraId="47A5ADB6" w14:textId="77777777" w:rsidR="00756FC2" w:rsidRPr="00756FC2" w:rsidRDefault="00756FC2" w:rsidP="00756FC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56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Старший инспектор общего отдела</w:t>
      </w:r>
    </w:p>
    <w:p w14:paraId="5E803D73" w14:textId="111BC70E" w:rsidR="00756FC2" w:rsidRPr="00756FC2" w:rsidRDefault="00756FC2" w:rsidP="00756FC2">
      <w:pPr>
        <w:ind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756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управления делами                                                                Ю.Г. Никифорова</w:t>
      </w:r>
      <w:r w:rsidRPr="00756FC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</w:p>
    <w:p w14:paraId="78C2420F" w14:textId="77777777" w:rsidR="00756FC2" w:rsidRPr="00756FC2" w:rsidRDefault="00756FC2" w:rsidP="00756FC2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14:paraId="0ED44E04" w14:textId="08A2CD28" w:rsidR="00756FC2" w:rsidRPr="00756FC2" w:rsidRDefault="00756FC2" w:rsidP="00756FC2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 w:rsidRPr="00756FC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Исполнитель</w:t>
      </w:r>
      <w:r w:rsidRPr="00756FC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56FC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56FC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56FC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56FC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</w:r>
      <w:r w:rsidRPr="00756FC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ab/>
        <w:t xml:space="preserve">                  С.Н. Филаткина</w:t>
      </w:r>
    </w:p>
    <w:p w14:paraId="01C1B2AB" w14:textId="77777777" w:rsidR="00756FC2" w:rsidRPr="00756FC2" w:rsidRDefault="00756FC2" w:rsidP="00756FC2">
      <w:pPr>
        <w:spacing w:after="0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lang w:val="ru-RU" w:eastAsia="ru-RU"/>
        </w:rPr>
      </w:pPr>
      <w:r w:rsidRPr="00756FC2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Разослано: </w:t>
      </w:r>
      <w:r w:rsidRPr="00756FC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дело, управление бухгалтерского учета, отдел кадров</w:t>
      </w:r>
    </w:p>
    <w:p w14:paraId="4D033BD5" w14:textId="77777777" w:rsidR="00756FC2" w:rsidRPr="00756FC2" w:rsidRDefault="00756FC2" w:rsidP="00756FC2">
      <w:pPr>
        <w:spacing w:after="0"/>
        <w:rPr>
          <w:rFonts w:ascii="Times New Roman" w:eastAsia="Times New Roman" w:hAnsi="Times New Roman" w:cs="Times New Roman"/>
          <w:color w:val="FFFFFF"/>
          <w:sz w:val="20"/>
          <w:szCs w:val="28"/>
          <w:lang w:val="ru-RU" w:eastAsia="ru-RU"/>
        </w:rPr>
      </w:pPr>
    </w:p>
    <w:p w14:paraId="101B38CB" w14:textId="77777777" w:rsidR="00756FC2" w:rsidRPr="00756FC2" w:rsidRDefault="00756FC2" w:rsidP="00756FC2">
      <w:pPr>
        <w:spacing w:after="0"/>
        <w:jc w:val="center"/>
        <w:rPr>
          <w:rFonts w:ascii="Times New Roman" w:eastAsia="Times New Roman" w:hAnsi="Times New Roman" w:cs="Times New Roman"/>
          <w:color w:val="FFFFFF"/>
          <w:sz w:val="20"/>
          <w:szCs w:val="28"/>
          <w:lang w:val="ru-RU" w:eastAsia="ru-RU"/>
        </w:rPr>
      </w:pPr>
    </w:p>
    <w:p w14:paraId="7F5E7220" w14:textId="77777777" w:rsidR="00756FC2" w:rsidRPr="00A139E3" w:rsidRDefault="00756FC2" w:rsidP="00756FC2">
      <w:pPr>
        <w:spacing w:after="0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756FC2">
        <w:rPr>
          <w:rFonts w:ascii="Times New Roman" w:eastAsia="Times New Roman" w:hAnsi="Times New Roman" w:cs="Times New Roman"/>
          <w:spacing w:val="20"/>
          <w:sz w:val="28"/>
          <w:szCs w:val="28"/>
          <w:lang w:val="ru-RU" w:eastAsia="ru-RU"/>
        </w:rPr>
        <w:t xml:space="preserve"> </w:t>
      </w:r>
      <w:r w:rsidRPr="00A139E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СОГЛАСОВАНИЯ</w:t>
      </w:r>
    </w:p>
    <w:p w14:paraId="654D202C" w14:textId="77777777" w:rsidR="00756FC2" w:rsidRPr="00A139E3" w:rsidRDefault="00756FC2" w:rsidP="00756FC2">
      <w:pPr>
        <w:spacing w:after="0"/>
        <w:ind w:firstLine="709"/>
        <w:jc w:val="center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1"/>
        <w:gridCol w:w="3003"/>
        <w:gridCol w:w="3028"/>
        <w:gridCol w:w="2011"/>
      </w:tblGrid>
      <w:tr w:rsidR="00756FC2" w:rsidRPr="00A139E3" w14:paraId="1546A10D" w14:textId="77777777" w:rsidTr="00F830E4">
        <w:tc>
          <w:tcPr>
            <w:tcW w:w="1242" w:type="dxa"/>
            <w:shd w:val="clear" w:color="auto" w:fill="auto"/>
          </w:tcPr>
          <w:p w14:paraId="5AD81D36" w14:textId="77777777" w:rsidR="00756FC2" w:rsidRPr="00A139E3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Дата</w:t>
            </w:r>
            <w:proofErr w:type="spellEnd"/>
          </w:p>
        </w:tc>
        <w:tc>
          <w:tcPr>
            <w:tcW w:w="3119" w:type="dxa"/>
            <w:shd w:val="clear" w:color="auto" w:fill="auto"/>
          </w:tcPr>
          <w:p w14:paraId="2FE589AB" w14:textId="77777777" w:rsidR="00756FC2" w:rsidRPr="00A139E3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Суть</w:t>
            </w:r>
            <w:proofErr w:type="spellEnd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возражений</w:t>
            </w:r>
            <w:proofErr w:type="spellEnd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замечаний</w:t>
            </w:r>
            <w:proofErr w:type="spellEnd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предложений</w:t>
            </w:r>
            <w:proofErr w:type="spellEnd"/>
          </w:p>
        </w:tc>
        <w:tc>
          <w:tcPr>
            <w:tcW w:w="3118" w:type="dxa"/>
            <w:shd w:val="clear" w:color="auto" w:fill="auto"/>
          </w:tcPr>
          <w:p w14:paraId="13DF31ED" w14:textId="77777777" w:rsidR="00756FC2" w:rsidRPr="00A139E3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Ф.И.О. </w:t>
            </w:r>
            <w:proofErr w:type="spellStart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должность</w:t>
            </w:r>
            <w:proofErr w:type="spellEnd"/>
          </w:p>
        </w:tc>
        <w:tc>
          <w:tcPr>
            <w:tcW w:w="2091" w:type="dxa"/>
            <w:shd w:val="clear" w:color="auto" w:fill="auto"/>
          </w:tcPr>
          <w:p w14:paraId="748B0B8A" w14:textId="77777777" w:rsidR="00756FC2" w:rsidRPr="00A139E3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Личная</w:t>
            </w:r>
            <w:proofErr w:type="spellEnd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139E3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подпись</w:t>
            </w:r>
            <w:proofErr w:type="spellEnd"/>
          </w:p>
        </w:tc>
      </w:tr>
      <w:tr w:rsidR="00756FC2" w:rsidRPr="00756FC2" w14:paraId="4E30CD97" w14:textId="77777777" w:rsidTr="00F830E4">
        <w:trPr>
          <w:trHeight w:val="1268"/>
        </w:trPr>
        <w:tc>
          <w:tcPr>
            <w:tcW w:w="1242" w:type="dxa"/>
            <w:shd w:val="clear" w:color="auto" w:fill="auto"/>
          </w:tcPr>
          <w:p w14:paraId="519D2333" w14:textId="77777777" w:rsidR="00756FC2" w:rsidRPr="00A139E3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45C2D34" w14:textId="77777777" w:rsidR="00756FC2" w:rsidRPr="00A139E3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2F3ED6EB" w14:textId="77777777" w:rsidR="00756FC2" w:rsidRPr="00756FC2" w:rsidRDefault="00756FC2" w:rsidP="00F830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56FC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Е.С. Горшкова</w:t>
            </w:r>
          </w:p>
          <w:p w14:paraId="18C7C399" w14:textId="77777777" w:rsidR="00756FC2" w:rsidRPr="00756FC2" w:rsidRDefault="00756FC2" w:rsidP="00F830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56FC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Заместитель главы</w:t>
            </w:r>
          </w:p>
          <w:p w14:paraId="42A79056" w14:textId="77777777" w:rsidR="00756FC2" w:rsidRPr="00756FC2" w:rsidRDefault="00756FC2" w:rsidP="00F830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56FC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администрации</w:t>
            </w:r>
          </w:p>
          <w:p w14:paraId="3158FF38" w14:textId="77777777" w:rsidR="00756FC2" w:rsidRPr="00756FC2" w:rsidRDefault="00756FC2" w:rsidP="00F830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3E43E83A" w14:textId="77777777" w:rsidR="00756FC2" w:rsidRPr="00756FC2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56FC2" w:rsidRPr="00756FC2" w14:paraId="1640A61C" w14:textId="77777777" w:rsidTr="00F830E4">
        <w:trPr>
          <w:trHeight w:val="989"/>
        </w:trPr>
        <w:tc>
          <w:tcPr>
            <w:tcW w:w="1242" w:type="dxa"/>
            <w:shd w:val="clear" w:color="auto" w:fill="auto"/>
          </w:tcPr>
          <w:p w14:paraId="414BEF80" w14:textId="77777777" w:rsidR="00756FC2" w:rsidRPr="00756FC2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192FCC95" w14:textId="77777777" w:rsidR="00756FC2" w:rsidRPr="00756FC2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59C823C1" w14:textId="77777777" w:rsidR="00756FC2" w:rsidRPr="00756FC2" w:rsidRDefault="00756FC2" w:rsidP="00F830E4">
            <w:pPr>
              <w:tabs>
                <w:tab w:val="left" w:pos="567"/>
                <w:tab w:val="left" w:pos="1114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56FC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А.А. Орлова Начальник юридического отдела правового управления</w:t>
            </w:r>
          </w:p>
          <w:p w14:paraId="6E1082B8" w14:textId="77777777" w:rsidR="00756FC2" w:rsidRPr="00756FC2" w:rsidRDefault="00756FC2" w:rsidP="00F830E4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0A73C45C" w14:textId="77777777" w:rsidR="00756FC2" w:rsidRPr="00756FC2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56FC2" w:rsidRPr="00756FC2" w14:paraId="5F2334C0" w14:textId="77777777" w:rsidTr="00F830E4">
        <w:trPr>
          <w:trHeight w:val="989"/>
        </w:trPr>
        <w:tc>
          <w:tcPr>
            <w:tcW w:w="1242" w:type="dxa"/>
            <w:shd w:val="clear" w:color="auto" w:fill="auto"/>
          </w:tcPr>
          <w:p w14:paraId="49314BD9" w14:textId="77777777" w:rsidR="00756FC2" w:rsidRPr="00756FC2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9" w:type="dxa"/>
            <w:shd w:val="clear" w:color="auto" w:fill="auto"/>
          </w:tcPr>
          <w:p w14:paraId="0337AF35" w14:textId="77777777" w:rsidR="00756FC2" w:rsidRPr="00756FC2" w:rsidRDefault="00756FC2" w:rsidP="00F830E4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118" w:type="dxa"/>
            <w:shd w:val="clear" w:color="auto" w:fill="auto"/>
          </w:tcPr>
          <w:p w14:paraId="0A4942E6" w14:textId="77777777" w:rsidR="00756FC2" w:rsidRPr="00756FC2" w:rsidRDefault="00756FC2" w:rsidP="00F830E4">
            <w:pPr>
              <w:tabs>
                <w:tab w:val="left" w:pos="567"/>
                <w:tab w:val="left" w:pos="1114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56FC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 xml:space="preserve">А.А. </w:t>
            </w:r>
            <w:proofErr w:type="spellStart"/>
            <w:r w:rsidRPr="00756FC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Песчазова</w:t>
            </w:r>
            <w:proofErr w:type="spellEnd"/>
          </w:p>
          <w:p w14:paraId="37981F57" w14:textId="77777777" w:rsidR="00756FC2" w:rsidRPr="00756FC2" w:rsidRDefault="00756FC2" w:rsidP="00F830E4">
            <w:pPr>
              <w:tabs>
                <w:tab w:val="left" w:pos="2389"/>
              </w:tabs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  <w:r w:rsidRPr="00756FC2"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  <w:t>Начальник отдела муниципальной службы и кадров</w:t>
            </w:r>
          </w:p>
        </w:tc>
        <w:tc>
          <w:tcPr>
            <w:tcW w:w="2091" w:type="dxa"/>
            <w:shd w:val="clear" w:color="auto" w:fill="auto"/>
          </w:tcPr>
          <w:p w14:paraId="61F71666" w14:textId="77777777" w:rsidR="00756FC2" w:rsidRPr="00756FC2" w:rsidRDefault="00756FC2" w:rsidP="00F830E4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14:paraId="6B5FAED4" w14:textId="27A9355C" w:rsidR="00F60B12" w:rsidRDefault="00F60B12" w:rsidP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5E470FA" w14:textId="77777777" w:rsidR="00756FC2" w:rsidRPr="00045359" w:rsidRDefault="00756FC2" w:rsidP="003C25B1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731E54BE" w14:textId="77777777" w:rsidR="00045359" w:rsidRDefault="00045359" w:rsidP="00045359">
      <w:pPr>
        <w:pStyle w:val="a3"/>
        <w:spacing w:before="0" w:beforeAutospacing="0" w:after="0" w:afterAutospacing="0" w:line="273" w:lineRule="auto"/>
        <w:ind w:left="4536" w:firstLine="709"/>
        <w:jc w:val="center"/>
      </w:pPr>
      <w:r>
        <w:rPr>
          <w:color w:val="000000"/>
        </w:rPr>
        <w:lastRenderedPageBreak/>
        <w:t>УТВЕРЖДЕНО</w:t>
      </w:r>
    </w:p>
    <w:p w14:paraId="6DA5FD73" w14:textId="77777777" w:rsidR="00045359" w:rsidRDefault="00045359" w:rsidP="00045359">
      <w:pPr>
        <w:pStyle w:val="a3"/>
        <w:spacing w:before="0" w:beforeAutospacing="0" w:after="0" w:afterAutospacing="0" w:line="273" w:lineRule="auto"/>
        <w:ind w:left="4536" w:firstLine="709"/>
        <w:jc w:val="center"/>
      </w:pPr>
      <w:r>
        <w:rPr>
          <w:color w:val="000000"/>
        </w:rPr>
        <w:t>постановлением администрации</w:t>
      </w:r>
    </w:p>
    <w:p w14:paraId="13F91925" w14:textId="77777777" w:rsidR="00045359" w:rsidRDefault="00045359" w:rsidP="00045359">
      <w:pPr>
        <w:pStyle w:val="a3"/>
        <w:spacing w:before="0" w:beforeAutospacing="0" w:after="0" w:afterAutospacing="0" w:line="273" w:lineRule="auto"/>
        <w:ind w:left="4536" w:firstLine="709"/>
        <w:jc w:val="center"/>
      </w:pPr>
      <w:r>
        <w:rPr>
          <w:color w:val="000000"/>
        </w:rPr>
        <w:t>городского округа Красногорск</w:t>
      </w:r>
    </w:p>
    <w:p w14:paraId="5646575D" w14:textId="77777777" w:rsidR="00045359" w:rsidRDefault="00045359" w:rsidP="00045359">
      <w:pPr>
        <w:pStyle w:val="a3"/>
        <w:spacing w:before="0" w:beforeAutospacing="0" w:after="0" w:afterAutospacing="0" w:line="273" w:lineRule="auto"/>
        <w:ind w:left="4536" w:firstLine="709"/>
        <w:jc w:val="center"/>
      </w:pPr>
      <w:r>
        <w:rPr>
          <w:color w:val="000000"/>
        </w:rPr>
        <w:t>___________ № ______________</w:t>
      </w:r>
    </w:p>
    <w:p w14:paraId="63926A18" w14:textId="77777777" w:rsidR="00045359" w:rsidRDefault="00045359" w:rsidP="00045359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02FCF65C" w14:textId="77777777" w:rsidR="00045359" w:rsidRDefault="00045359" w:rsidP="00045359">
      <w:pPr>
        <w:pStyle w:val="a3"/>
        <w:spacing w:before="0" w:beforeAutospacing="0" w:after="0" w:afterAutospacing="0" w:line="273" w:lineRule="auto"/>
        <w:ind w:firstLine="709"/>
        <w:jc w:val="both"/>
      </w:pPr>
      <w:r>
        <w:t> </w:t>
      </w:r>
    </w:p>
    <w:p w14:paraId="3D83E085" w14:textId="77777777" w:rsidR="00045359" w:rsidRPr="007A2AE5" w:rsidRDefault="00045359" w:rsidP="00045359">
      <w:pPr>
        <w:pStyle w:val="a3"/>
        <w:spacing w:before="0" w:beforeAutospacing="0" w:after="0" w:afterAutospacing="0" w:line="273" w:lineRule="auto"/>
        <w:ind w:firstLine="709"/>
        <w:jc w:val="center"/>
      </w:pPr>
      <w:r w:rsidRPr="007A2AE5">
        <w:rPr>
          <w:color w:val="000000"/>
          <w:sz w:val="28"/>
          <w:szCs w:val="28"/>
        </w:rPr>
        <w:t>Положение об организации и осуществлении</w:t>
      </w:r>
    </w:p>
    <w:p w14:paraId="07491189" w14:textId="77777777" w:rsidR="00045359" w:rsidRPr="007A2AE5" w:rsidRDefault="00045359" w:rsidP="00045359">
      <w:pPr>
        <w:pStyle w:val="a3"/>
        <w:spacing w:before="0" w:beforeAutospacing="0" w:after="0" w:afterAutospacing="0" w:line="273" w:lineRule="auto"/>
        <w:ind w:firstLine="709"/>
        <w:jc w:val="center"/>
      </w:pPr>
      <w:r w:rsidRPr="007A2AE5">
        <w:rPr>
          <w:color w:val="000000"/>
          <w:sz w:val="28"/>
          <w:szCs w:val="28"/>
        </w:rPr>
        <w:t>внутреннего финансового аудита в администрации городского округа Красногорск</w:t>
      </w:r>
      <w:r>
        <w:rPr>
          <w:color w:val="000000"/>
          <w:sz w:val="28"/>
          <w:szCs w:val="28"/>
        </w:rPr>
        <w:t xml:space="preserve"> Московской области</w:t>
      </w:r>
    </w:p>
    <w:p w14:paraId="106CD532" w14:textId="77777777" w:rsidR="00F60B12" w:rsidRPr="00045359" w:rsidRDefault="00F60B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14:paraId="3A3BA7EC" w14:textId="5DCB634B" w:rsidR="00F60B12" w:rsidRPr="00045359" w:rsidRDefault="003C5512" w:rsidP="0004535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Общие положения</w:t>
      </w:r>
    </w:p>
    <w:p w14:paraId="1DA5CA86" w14:textId="7594D2AF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1.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Внутренний финансовый аудит </w:t>
      </w:r>
      <w:r w:rsid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администрации городского округа Красногорск Московской области (далее - </w:t>
      </w:r>
      <w:bookmarkStart w:id="0" w:name="_Hlk154141522"/>
      <w:r w:rsid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администрация го Красногорск</w:t>
      </w:r>
      <w:bookmarkEnd w:id="0"/>
      <w:r w:rsid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)</w:t>
      </w:r>
      <w:r w:rsidR="005A45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решению главы городского округа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принятому в соответствии с подпунктом «а» пункта 3,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подпунктами «а» и «б» пункта 7 Федерального стандарта, утвержденного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приказом Минфина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 18.12.2019 № 237н, осуществляется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уполномоченным должностным лицом по осуществлению в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внутреннего финансового аудита (далее – аудитор).</w:t>
      </w:r>
    </w:p>
    <w:p w14:paraId="7C573C96" w14:textId="38150963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Формирование и актуализация реестра бюджетных рисков 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 о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беспечивается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аудитором в том числе на основе:</w:t>
      </w:r>
    </w:p>
    <w:p w14:paraId="39BC3264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предложений субъектов бюджетных процедур по результатам осуществления ими оценки бюджетных рисков и анализа способов их минимизации, а также анализа выявленных нарушений или недостатков;</w:t>
      </w:r>
    </w:p>
    <w:p w14:paraId="03E5EF63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результатов мониторинга реализации субъектами бюджетных процедур мер по минимизации и устранению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 рисков, по устранению недостатков и нарушений,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организации внутреннего финансового контроля (рекомендуемые к осуществлению контрольные действия) (далее –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 по минимизации и устранению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 рисков);</w:t>
      </w:r>
    </w:p>
    <w:p w14:paraId="271D6044" w14:textId="0BC3D8A2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результатов анализа изменения бюджетного законодательства России, информации и результатов контрольных мероприятий органов государственного финансового контроля в отношении бюджетных процедур, осуществляемых </w:t>
      </w:r>
      <w:bookmarkStart w:id="1" w:name="_Hlk154141989"/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го Красногорск</w:t>
      </w:r>
      <w:bookmarkEnd w:id="1"/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результатов аудиторских мероприятий и результатов мониторинга качества финансового менеджмента, проводимого 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D02C621" w14:textId="1B3E0173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3. При определении операции (действия) по выполнению бюджетной процедуры в рамках формирования (актуализации) реестра бюджетных рисков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учитываются этапы составления, утверждения и исполнения </w:t>
      </w:r>
      <w:r w:rsidR="005A4556" w:rsidRPr="005A4556">
        <w:rPr>
          <w:rFonts w:ascii="Times New Roman" w:hAnsi="Times New Roman" w:cs="Times New Roman"/>
          <w:sz w:val="28"/>
          <w:szCs w:val="28"/>
          <w:lang w:val="ru-RU"/>
        </w:rPr>
        <w:t>бюджета городского округа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составления бюджетной отчетности.</w:t>
      </w:r>
    </w:p>
    <w:p w14:paraId="5E77A705" w14:textId="1769B852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4. При формировании и актуализации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реестра бюджетных рисков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бюджетные риски выявляются во взаимосвязи с операциями (действиями) по выполнению бюджетных процедур, в том числе сгруппированными по принципу (алгоритму) осуществляемых действий в однотипные операции (действия) по выполнению бюджетных процедур (далее – однотипные операции).</w:t>
      </w:r>
    </w:p>
    <w:p w14:paraId="2F4F4C26" w14:textId="74435D46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5. При описании причин бюджетного риска (реализации бюджетного риска) в части однотипных операций указывается номенклатурный номер структурного подразделения 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, руководитель (заместитель руководителя) или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иное должностное лицо, которое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 операцию (действие) по выполнению бюджетной процедуры, включенную в однотипную операцию, в рамках которой выявлен бюджетный риск.</w:t>
      </w:r>
    </w:p>
    <w:p w14:paraId="102925C6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6. Возможные последствия реализации бюджетного риска оцениваются на основании анализа:</w:t>
      </w:r>
    </w:p>
    <w:p w14:paraId="159AD9D9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влияния реализации бюджетного риска на значение показателей качества финансового менеджмента, в том числе достижение целевых значений показателей качества финансового менеджмента, определенных в соответствии с порядком проведения мониторинга качества финансового менеджмента, предусмотренным пунктом 6 статьи 160.2-1 Бюджетного кодекса (далее –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БК), – 30 баллов;</w:t>
      </w:r>
    </w:p>
    <w:p w14:paraId="70A42728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возможности выявления органами государственного финансового контроля нарушений, являющихся последствиями реализации бюджетного риска, при проведении мероприятий, касающихся организации (обеспечения выполнения), выполнения бюджетных процедур, в том числе операций (действий) по выполнению бюджетных процедур, – 30 баллов;</w:t>
      </w:r>
    </w:p>
    <w:p w14:paraId="647F14C0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возможности применения мер административной ответственности к виновным должностным лицам (работникам) за нарушение, являющееся последствием реализации бюджетного риска, – 10 баллов;</w:t>
      </w:r>
    </w:p>
    <w:p w14:paraId="7A4C0740" w14:textId="55E850AF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деятельности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одному из следующих случаев:</w:t>
      </w:r>
    </w:p>
    <w:p w14:paraId="51BF2BF8" w14:textId="77777777" w:rsidR="00F60B12" w:rsidRPr="00045359" w:rsidRDefault="003C5512" w:rsidP="00045359">
      <w:pPr>
        <w:numPr>
          <w:ilvl w:val="0"/>
          <w:numId w:val="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оказании негативного воздействия на результат выполнения другой операции (действия) по выполнению бюджетной процедуры – 10 баллов;</w:t>
      </w:r>
    </w:p>
    <w:p w14:paraId="2E069D8A" w14:textId="0EC258EC" w:rsidR="00F60B12" w:rsidRPr="00045359" w:rsidRDefault="003C5512" w:rsidP="00045359">
      <w:pPr>
        <w:numPr>
          <w:ilvl w:val="0"/>
          <w:numId w:val="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иных случаях, в том числе определения недостаточной результативности использования бюджетных средств, недополучения доходов бюджета</w:t>
      </w:r>
      <w:r w:rsidR="005A45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городского округа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, – 30 баллов.</w:t>
      </w:r>
    </w:p>
    <w:p w14:paraId="4ED685CF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отсутствия возможных последствий реализации бюджетного риска оценка составляет 0 баллов.</w:t>
      </w:r>
    </w:p>
    <w:p w14:paraId="16D82567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7. Оценка критерия «степень влияния» осуществляется с учетом результатов анализа возможных последствий реализации бюджетного риска путем суммирования баллов и оценивается как:</w:t>
      </w:r>
    </w:p>
    <w:p w14:paraId="7D1F93AA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высокая, в случае если сумма баллов возможных последствий реализации бюджетного риска принимает значение не менее 60;</w:t>
      </w:r>
    </w:p>
    <w:p w14:paraId="3F70EA40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средняя, в случае если сумма баллов возможных последствий реализации бюджетного риска принимает значение не менее 30 и менее 60;</w:t>
      </w:r>
    </w:p>
    <w:p w14:paraId="69D77F13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низкая, в случае если сумма баллов возможных последствий реализации бюджетного риска принимает значение менее 30.</w:t>
      </w:r>
    </w:p>
    <w:p w14:paraId="0B32F657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Возможное максимальное значение оценки критерия «степень влияния» составляет 100 баллов.</w:t>
      </w:r>
    </w:p>
    <w:p w14:paraId="3D211370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8. Оценка критерия «вероятность» осуществляется с учетом:</w:t>
      </w:r>
    </w:p>
    <w:p w14:paraId="38F3937E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наличия и характера причин реализации бюджетного риска;</w:t>
      </w:r>
    </w:p>
    <w:p w14:paraId="736E2083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наличия условий и обстоятельств, которые могут привести к реализации бюджетного риска, о котором свидетельствует изменение:</w:t>
      </w:r>
    </w:p>
    <w:p w14:paraId="62E23654" w14:textId="77777777" w:rsidR="00F60B12" w:rsidRPr="00045359" w:rsidRDefault="003C5512" w:rsidP="00045359">
      <w:pPr>
        <w:numPr>
          <w:ilvl w:val="0"/>
          <w:numId w:val="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количества нарушений, выявленных по результатам мероприятий органов государственного финансового контроля, касающихся организации и обеспечения выполнения бюджетных процедур, в том числе операций (действий) по выполнению бюджетных процедур, по сравнению с предыдущим годом;</w:t>
      </w:r>
    </w:p>
    <w:p w14:paraId="1B4B0E5B" w14:textId="77777777" w:rsidR="00F60B12" w:rsidRPr="00045359" w:rsidRDefault="003C5512" w:rsidP="00045359">
      <w:pPr>
        <w:numPr>
          <w:ilvl w:val="0"/>
          <w:numId w:val="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значений показателей годового мониторинга качества финансового менеджмента, рассчитываемых в соответствии с порядком проведения мониторинга качества финансового менеджмента,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предусмотренным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6 статьи 160.2-1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БК, по сравнению с предыдущим годом или максимальным возможным значением.</w:t>
      </w:r>
    </w:p>
    <w:p w14:paraId="29728ABB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9. В случае отсутствия информации, указанной в настоящего положения, в целях определения наличия условий (обстоятельств), которые могут привести к реализации бюджетного риска, используется оценка иных показателей качества финансового менеджмента, рассчитанных аудитором за отчетный год, по сравнению с годом, предшествующим отчетному, в том числе:</w:t>
      </w:r>
    </w:p>
    <w:p w14:paraId="2A410153" w14:textId="3F8F34A6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доля кассового исполнения по источникам финансирования дефицита бюджета</w:t>
      </w:r>
      <w:r w:rsidR="005A4556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городского округа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(выплаты) в объеме бюджетных ассигнований по источникам финансирования дефицита </w:t>
      </w:r>
      <w:r w:rsidR="005A4556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бюджета городского округа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ADC9B61" w14:textId="799DF029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доля кассового исполнения по расходам на реализацию </w:t>
      </w:r>
      <w:r w:rsidR="00B67F37"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программ</w:t>
      </w:r>
      <w:r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объеме бюджетных ассигнований на реализацию </w:t>
      </w:r>
      <w:r w:rsid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 программ</w:t>
      </w:r>
      <w:r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C41A3FE" w14:textId="37D1A87A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10.</w:t>
      </w:r>
      <w:r w:rsidRPr="00B67F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Реестр бюджетных рисков </w:t>
      </w:r>
      <w:r w:rsidR="0009006B"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09006B"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представляется субъектам бюджетных процедур путем размещения</w:t>
      </w:r>
      <w:r w:rsid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портале</w:t>
      </w:r>
      <w:r w:rsidRPr="00B67F3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006B"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 w:rsidRP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1D3D1341" w14:textId="77777777" w:rsidR="00F60B12" w:rsidRPr="00045359" w:rsidRDefault="00F60B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B185F22" w14:textId="77777777" w:rsidR="00F60B12" w:rsidRPr="00045359" w:rsidRDefault="003C5512" w:rsidP="0009006B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</w:t>
      </w: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Планирование проведения аудиторских мероприятий</w:t>
      </w:r>
    </w:p>
    <w:p w14:paraId="01066FE0" w14:textId="3DDE5E2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11. Проект плана проведения аудиторских мероприятий 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</w:t>
      </w:r>
      <w:r w:rsid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очередной финансовый год составляет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представляет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главе городского округа Красногорск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25 декабря текущего года.</w:t>
      </w:r>
    </w:p>
    <w:p w14:paraId="6EFE93A7" w14:textId="09A25C25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12. Копию утвержденного плана проведения аудиторских мероприятий 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</w:t>
      </w:r>
      <w:r w:rsid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очередной финансовый год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направляет субъектам бюджетных процедур не позднее 5 рабочих дней со дня его утверждения 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главой городского округа Красногорск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использованием системы электронного документооборота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37735F1D" w14:textId="3A853F81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13. Внесение изменений в план проведения аудиторских мероприятий 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</w:t>
      </w:r>
      <w:r w:rsidR="00B67F37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очередной финансовый год осуществляется путем утверждения </w:t>
      </w:r>
      <w:r w:rsidR="0009006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главой городского округа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дополнений, исключений или уточнений отдельных тем и дат (месяцев) окончания аудиторских мероприятий, в том числе на основе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представленной аудитором информации, в соответствии с подпунктом «б» пункта 11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стандарта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«Планирование и проведение внутреннего финансового аудита», утвержденного приказом Минфина от 05.08.2020 № 160н, а также:</w:t>
      </w:r>
    </w:p>
    <w:p w14:paraId="60149AB3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информации о надежности средств автоматизации и регламентации операций (действий) по выполнению бюджетной процедуры;</w:t>
      </w:r>
    </w:p>
    <w:p w14:paraId="117FA397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информации об изменении условий организации и исполнения бюджетных процедур (операций (действий) по выполнению бюджетной процедуры);</w:t>
      </w:r>
    </w:p>
    <w:p w14:paraId="68B3942C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информации о наличии недостатков (нарушений), выявленных по результатам контрольных мероприятий, проведенных органами государственного финансового контроля, по результатам аудиторских мероприятий;</w:t>
      </w:r>
    </w:p>
    <w:p w14:paraId="4C483E4A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иной информации о причинах и условиях (обстоятельствах) событий, которые могут оказать воздействие на осуществление бюджетных процедур (операций (действий) по выполнению бюджетной процедуры).</w:t>
      </w:r>
    </w:p>
    <w:p w14:paraId="0A8A82B7" w14:textId="4470A895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14. Решение о дополнении, исключении или уточнении отдельных тем и дат (месяцев) окончания аудиторских мероприятий плана проведения аудиторских мероприятий </w:t>
      </w:r>
      <w:r w:rsidR="00370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очередной финансовый год и план проведения аудиторских мероприятий </w:t>
      </w:r>
      <w:r w:rsidR="00370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администрацией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очередной финансовый год с изменениями согласно принятому решению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направляет субъектам бюджетных процедур не позднее 5 рабочих дней со дня его утверждения </w:t>
      </w:r>
      <w:r w:rsidR="0037079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главой городского округа Красногорск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использованием системы электронного документооборота </w:t>
      </w:r>
      <w:r w:rsidR="00370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7EC5542F" w14:textId="77777777" w:rsidR="00F60B12" w:rsidRPr="00045359" w:rsidRDefault="00F60B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733B87A2" w14:textId="40EF2EEC" w:rsidR="00F60B12" w:rsidRPr="00045359" w:rsidRDefault="003C5512" w:rsidP="0037079E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III</w:t>
      </w: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Проведение аудиторского мероприятия</w:t>
      </w:r>
    </w:p>
    <w:p w14:paraId="4DCF35BB" w14:textId="487B0095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15. Внеплановое аудиторское мероприятие проводится по р</w:t>
      </w:r>
      <w:r w:rsidR="0037079E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аспоряжению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главы городского округа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принятому в том числе на основании служебной записки, представленной аудитором.</w:t>
      </w:r>
    </w:p>
    <w:p w14:paraId="214D25B8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Служебная записка включает в себя тему аудиторского мероприятия, обоснование проведения внепланового аудиторского мероприятия с точки зрения наличия бюджетных рисков и (или) наличия недостатков (нарушений), выявленных при осуществлении плановых аудиторских мероприятий, дату (месяц) окончания внепланового аудиторского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мероприятия, иные положения в соответствии с требованиями федеральных стандартов внутреннего финансового аудита.</w:t>
      </w:r>
    </w:p>
    <w:p w14:paraId="27ACD511" w14:textId="2F47841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16. 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Распоряжение главы городского округа Красногорск о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проведении внепланового аудиторского мероприятия направляется аудитором субъектам бюджетных процедур, которые организуют (обеспечивают выполнение), выполняют бюджетные процедуры (операции (действия) по выполнению бюджетных процедур), в отношении которых проводится внеплановое аудиторское мероприятие, не позднее 5 рабочих дней со дня его принятия с использованием системы электронного документооборота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C76C31F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17. В целях проведения аудиторского мероприятия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имеет право формировать состав аудиторской группы путем привлечения:</w:t>
      </w:r>
    </w:p>
    <w:p w14:paraId="63283CD9" w14:textId="4243395B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а) должностных лиц (специалистов) структурных подразделений 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согласованию с руководителями структурных подразделений 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19B340B4" w14:textId="5C1666A3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должностных лиц (работников) подведомственных 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казенных учреждений по согласованию с руководителями подведомственных 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муниципальных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казенных учреждений или на основании положений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соглашений о передаче полномочий по осуществлению внутреннего финансового аудита;</w:t>
      </w:r>
    </w:p>
    <w:p w14:paraId="0CC5F423" w14:textId="3FCF5946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в) экспертов по согласованию с руководителем бюджетного, автономного учреждения, подведомственного </w:t>
      </w:r>
      <w:bookmarkStart w:id="2" w:name="_Hlk154153772"/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bookmarkEnd w:id="2"/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путем заключения </w:t>
      </w:r>
      <w:r w:rsidR="00D22C87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контракта или иного гражданско-правового договора;</w:t>
      </w:r>
    </w:p>
    <w:p w14:paraId="2133A5C7" w14:textId="12195ABF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экспертов –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физических лиц путем заключения </w:t>
      </w:r>
      <w:r w:rsidR="00AA04B1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муниципального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контракта или иного гражданско-правового договора;</w:t>
      </w:r>
    </w:p>
    <w:p w14:paraId="556B8C92" w14:textId="7507911B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д) должностных лиц (работников) иного главного распорядителя (распорядителя)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бюджета, получателя бюджетных средств, не находящегося в ведении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которые одновременно не являются должностными лицами органа муниципального финансового контроля, по согласованию с руководителем такого главного распорядителя (распорядителя) бюджетных средств, получателя бюджетных средств, главного администратора (администратора) доходов бюджета, главного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администратора (администратора) источников финансирования дефицита бюджета.</w:t>
      </w:r>
    </w:p>
    <w:p w14:paraId="19FCAF9B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18. При проведении аудиторского мероприятия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является руководителем аудиторской группы.</w:t>
      </w:r>
    </w:p>
    <w:p w14:paraId="0DE99CBC" w14:textId="6611BF46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19. Не позднее чем за 5 рабочих дней до начала проведения аудиторского мероприятия утвержденная аудитором программа аудиторского мероприятия направляется субъектам бюджетных процедур </w:t>
      </w:r>
      <w:r w:rsidR="00006CC9"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использованием системы электронного документооборота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62EA074" w14:textId="3DE8B391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20. В случае внесения изменений в программу аудиторского мероприятия в ходе осуществления аудиторского мероприятия актуализированную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программу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субъектам бюджетных процедур путем замены неактуальной программы аудиторского мероприятия </w:t>
      </w:r>
      <w:r w:rsidR="00006CC9"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использованием системы электронного документооборота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="00006CC9"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10 рабочих дней до дня окончания аудиторского мероприятия.</w:t>
      </w:r>
    </w:p>
    <w:p w14:paraId="55CE58E8" w14:textId="2240CA0D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21. При проведении аудиторского мероприятия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по переоценке наиболее значимых бюджетных рисков, информация о которых содержится в реестре бюджетных рисков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аудиторские мероприятия по переоценке бюджетных рисков), могут осуществляться следующие действия:</w:t>
      </w:r>
    </w:p>
    <w:p w14:paraId="6835A328" w14:textId="77777777" w:rsidR="00F60B12" w:rsidRPr="00045359" w:rsidRDefault="003C5512" w:rsidP="00045359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 регламентации и автоматизации бюджетных процедур (операций (действий) по выполнению бюджетной процедуры);</w:t>
      </w:r>
    </w:p>
    <w:p w14:paraId="6CC11E6E" w14:textId="77777777" w:rsidR="00F60B12" w:rsidRPr="00045359" w:rsidRDefault="003C5512" w:rsidP="00045359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определение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бюджетных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рисков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47B94730" w14:textId="77777777" w:rsidR="00F60B12" w:rsidRPr="00045359" w:rsidRDefault="003C5512" w:rsidP="00045359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осуществление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аудиторской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выборки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29ECE590" w14:textId="77777777" w:rsidR="00F60B12" w:rsidRPr="00045359" w:rsidRDefault="003C5512" w:rsidP="00045359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 и анализ аудиторских доказательств и причин реализации (доказательств нереализации) бюджетных рисков;</w:t>
      </w:r>
    </w:p>
    <w:p w14:paraId="002F9916" w14:textId="77777777" w:rsidR="00F60B12" w:rsidRPr="00045359" w:rsidRDefault="003C5512" w:rsidP="00045359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формирование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3D109751" w14:textId="77777777" w:rsidR="00F60B12" w:rsidRPr="00045359" w:rsidRDefault="003C5512" w:rsidP="00045359">
      <w:pPr>
        <w:numPr>
          <w:ilvl w:val="0"/>
          <w:numId w:val="3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контроль полноты рабочей документации и достаточности аудиторских доказательств;</w:t>
      </w:r>
    </w:p>
    <w:p w14:paraId="4089CC5A" w14:textId="77777777" w:rsidR="00F60B12" w:rsidRPr="00045359" w:rsidRDefault="003C5512" w:rsidP="00045359">
      <w:pPr>
        <w:numPr>
          <w:ilvl w:val="0"/>
          <w:numId w:val="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подготовка выводов, предложений и рекомендаций аудиторской группы, формирование заключения (проекта заключения).</w:t>
      </w:r>
    </w:p>
    <w:p w14:paraId="01717D54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22. Аудиторское мероприятие по переоценке бюджетных рисков проводится путем:</w:t>
      </w:r>
    </w:p>
    <w:p w14:paraId="79E1B0D1" w14:textId="77777777" w:rsidR="00F60B12" w:rsidRPr="00045359" w:rsidRDefault="003C5512" w:rsidP="00045359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анализа изменений регламентации и автоматизации бюджетных процедур (операций (действий) по выполнению бюджетной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процедуры), произошедших в период с последнего аудиторского мероприятия, в рамках которого был определен бюджетный риск;</w:t>
      </w:r>
    </w:p>
    <w:p w14:paraId="62492FB2" w14:textId="77777777" w:rsidR="00F60B12" w:rsidRPr="00045359" w:rsidRDefault="003C5512" w:rsidP="00045359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анализа принятых мер по повышению качества финансового менеджмента;</w:t>
      </w:r>
    </w:p>
    <w:p w14:paraId="2CB7A917" w14:textId="77777777" w:rsidR="00F60B12" w:rsidRPr="00045359" w:rsidRDefault="003C5512" w:rsidP="00045359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аудиторской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выборки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CDEA0A3" w14:textId="77777777" w:rsidR="00F60B12" w:rsidRPr="00045359" w:rsidRDefault="003C5512" w:rsidP="00045359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сбора и анализа аудиторских доказательств и причин реализации (доказательств нереализации) бюджетных рисков;</w:t>
      </w:r>
    </w:p>
    <w:p w14:paraId="23C5596B" w14:textId="77777777" w:rsidR="00F60B12" w:rsidRPr="00045359" w:rsidRDefault="003C5512" w:rsidP="00045359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мониторинга процедур внутреннего финансового контроля;</w:t>
      </w:r>
    </w:p>
    <w:p w14:paraId="65042D4B" w14:textId="77777777" w:rsidR="00F60B12" w:rsidRPr="00045359" w:rsidRDefault="003C5512" w:rsidP="00045359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формирования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рабочей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45359">
        <w:rPr>
          <w:rFonts w:ascii="Times New Roman" w:hAnsi="Times New Roman" w:cs="Times New Roman"/>
          <w:color w:val="000000"/>
          <w:sz w:val="28"/>
          <w:szCs w:val="28"/>
        </w:rPr>
        <w:t>документации</w:t>
      </w:r>
      <w:proofErr w:type="spellEnd"/>
      <w:r w:rsidRPr="00045359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C4A84C3" w14:textId="77777777" w:rsidR="00F60B12" w:rsidRPr="00045359" w:rsidRDefault="003C5512" w:rsidP="00045359">
      <w:pPr>
        <w:numPr>
          <w:ilvl w:val="0"/>
          <w:numId w:val="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контроля полноты рабочей документации и достаточности аудиторских доказательств;</w:t>
      </w:r>
    </w:p>
    <w:p w14:paraId="01D429F9" w14:textId="77777777" w:rsidR="00F60B12" w:rsidRPr="00045359" w:rsidRDefault="003C5512" w:rsidP="00045359">
      <w:pPr>
        <w:numPr>
          <w:ilvl w:val="0"/>
          <w:numId w:val="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выводов, предложений и рекомендаций аудиторской группы, формирования заключения или проекта заключения.</w:t>
      </w:r>
    </w:p>
    <w:p w14:paraId="435AF61F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23. Аналитическая записка может являться частью заключения или его проекта, содержать информацию об отдельных результатах аудиторского мероприятия.</w:t>
      </w:r>
    </w:p>
    <w:p w14:paraId="13A0D3BD" w14:textId="5A2E98C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24. Рабочая документация аудиторского мероприятия, которую подготавливает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(или) аудиторская группа (в том числе программа аудиторского мероприятия, заключение (проект заключения), аналитические записки (проекты аналитических записок), проект р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аспоряжения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мотивированная позиция аудитора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ответ на замечания, возражения и (или) уточнения субъектов бюджетных процедур, проект плана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сводный план мероприятий по совершенствованию организации (обеспечения выполнения), выполнения бюджетных процедур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(далее – Сводный план), иные документы, связанные с проведением аудиторского мероприятия), оформляется с учетом следующего:</w:t>
      </w:r>
    </w:p>
    <w:p w14:paraId="1BE7C74A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применение размеров полей не менее: 20 мм – левое, 10 мм – правое, 20 мм – верхнее, 20 мм – нижнее.</w:t>
      </w:r>
    </w:p>
    <w:p w14:paraId="25D51C41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оформлении инфографики, приложений к аналитическим запискам (проектам аналитических записок) допускается использование размеров полей не менее: 5 мм – левое, 5 мм – правое, 10 мм – верхнее, 10 мм – нижнее;</w:t>
      </w:r>
    </w:p>
    <w:p w14:paraId="7BA9B031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применение шрифта 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Times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New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Roman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размером № 14.</w:t>
      </w:r>
    </w:p>
    <w:p w14:paraId="37D94C0D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 оформлении таблиц, инфографики, приложений к аналитическим запискам (проектам аналитических записок) допускается использование шрифта размером не менее № 6;</w:t>
      </w:r>
    </w:p>
    <w:p w14:paraId="26475921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текстовая часть, таблицы и инфографика печатаются через 1–1,5 межстрочных интервала.</w:t>
      </w:r>
    </w:p>
    <w:p w14:paraId="1A3308A1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Применение абзацного отступа в текстовой части за исключением заголовков, подзаголовков, названий таблиц, инфографики, –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1,25 см;</w:t>
      </w:r>
    </w:p>
    <w:p w14:paraId="32DEC076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заголовок заключения (проекта заключения) печатается по центру прописными буквами и выделяется полужирным шрифтом, отделяясь от основного текста документа горизонтальной чертой.</w:t>
      </w:r>
    </w:p>
    <w:p w14:paraId="268A3CA5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 заголовком заключения по левому краю печатается дата завершения аудиторского мероприятия, по правому краю – номер заключения;</w:t>
      </w:r>
    </w:p>
    <w:p w14:paraId="20454E40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допускается начинать текст с уважительного обращения к адресату, которое печатается по центру страницы через 1 и более межстрочных интервалов от предыдущего реквизита;</w:t>
      </w:r>
    </w:p>
    <w:p w14:paraId="1DD7AB98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номера страниц проставляются арабскими цифрами посередине верхнего поля документа на расстоянии не менее 10 мм от верхнего края листа. Нумерация начинается со второй страницы.</w:t>
      </w:r>
    </w:p>
    <w:p w14:paraId="75DE9E7D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Каждая аналитическая записка (проект аналитической записки), являясь неотъемлемой частью заключения (проекта заключения), нумеруется отдельно со второй страницы;</w:t>
      </w:r>
    </w:p>
    <w:p w14:paraId="78730B0E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ж) допускается выделение отдельных фрагментов текста, в том числе заголовков, подзаголовков, названий таблиц, инфографики, нарушений и (или) недостатков, иных текстовых описаний частей рабочей документации аудиторского мероприятия, полужирным шрифтом, курсивом, подчеркиванием и (или) цветом;</w:t>
      </w:r>
    </w:p>
    <w:p w14:paraId="707C1CC8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з) при оформлении приложений к заключению (проекту заключения), аналитическим запискам (проектам аналитических записок) на первом листе в правом верхнем углу указывается порядковый номер приложения и соответствующие реквизиты (дата и номер) заключения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либо аналитических записок;</w:t>
      </w:r>
    </w:p>
    <w:p w14:paraId="646918DE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и) отметка о приложении оформляется под текстом письма от границы левого поля страницы. Если приложение названо в тексте письма, в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отметке о приложении указывается количество листов и количество экземпляров приложения.</w:t>
      </w:r>
    </w:p>
    <w:p w14:paraId="2EEBF25D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 наличии нескольких приложений в отметке о приложении они нумеруются, указываются наименования каждого приложения, количество листов и количество экземпляров;</w:t>
      </w:r>
    </w:p>
    <w:p w14:paraId="2CBD9AF9" w14:textId="6E51C23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к) программа аудиторского мероприятия утверждается аудитором как уполномоченным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должностным лицом по осуществлению в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внутреннего финансового аудита.</w:t>
      </w:r>
    </w:p>
    <w:p w14:paraId="00EF1D59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 подписывается аудитором как уполномоченным должностным лицом внутреннего финансового аудита (руководителем аудиторской группы) с указанием его должности.</w:t>
      </w:r>
    </w:p>
    <w:p w14:paraId="70459F78" w14:textId="50CC9BDC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Иные документы, которые подготавливает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 (или) аудиторская группа, подписываются аудитором как уполномоченным должностным лицом по осуществлению в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внутреннего финансового аудита.</w:t>
      </w:r>
    </w:p>
    <w:p w14:paraId="3A03AB04" w14:textId="7FD45B7C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25. Хранение рабочей документации аудиторского мероприятия обеспечивается аудитором на срок не менее 1 года. По истечении указанного срока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 передачу рабочей документации аудиторского мероприятия в архив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 указанием сроков ее хранения, но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более 5 лет.</w:t>
      </w:r>
    </w:p>
    <w:p w14:paraId="39C4978A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26.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проводит контроль полноты рабочей документации аудиторского мероприятия перед подписанием заключения.</w:t>
      </w:r>
    </w:p>
    <w:p w14:paraId="45F64FDD" w14:textId="2BF4EC58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27. Доступ к рабочей документации аудиторского мероприятия лицам, привлеченным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состав аудиторской группы в соответствии с подпунктами «а» и «б» пункта 17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положения, или должностным лицам (специалистам, работникам) структурных подразделений Агентства, подведомственных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Агентству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федеральных казенных учреждений, в отношении деятельности которых (в части организации (обеспечения выполнения), выполнения бюджетных процедур) получена информация о выявленных (реализованных) бюджетных рисках, о нарушениях и (или) недостатках, а также разработаны предложения и рекомендации о повышении качества финансового менеджмента, обеспечивается на постоянной основе до расторжения с такими должностными лицами (специалистами, работниками) служебных контрактов (трудовых договоров).</w:t>
      </w:r>
    </w:p>
    <w:p w14:paraId="1562BD1C" w14:textId="21243D7B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Доступ к рабочей документации аудиторского мероприятия лицам, привлеченным в состав аудиторской группы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подпунктами «в» и «д» пункта 17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положения,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обеспечивается путем предоставления автоматизированного рабочего места на территории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период проведения аудиторского мероприятия.</w:t>
      </w:r>
    </w:p>
    <w:p w14:paraId="07FD9D43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завершении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аудиторского мероприятия доступ к рабочей документации лицам, привлеченным в состав аудиторской группы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подпунктами «в» и «д», не предоставляется.</w:t>
      </w:r>
    </w:p>
    <w:p w14:paraId="2786CEC3" w14:textId="5F35C6B1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28. В случае отсутствия возможности выполнения аудитором полномочий в период проведения аудиторского мероприятия в связи с временной нетрудоспособностью, нахождением в очередном отпуске, служебной командировке и по иным причинам, которые могут быть подтверждены документально, аудиторское мероприятие (при необходимости) считается приостановленным на период отсутствия аудитора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 рабочем месте. Изменения в план проведения аудиторских мероприятий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очередной финансовый год и программу аудиторского мероприятия не вносятся.</w:t>
      </w:r>
    </w:p>
    <w:p w14:paraId="79B6C3E3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указанных событий и актуальных сроков проведения аудиторского мероприятия включается в заключение, документальное подтверждение указанных событий прикладывается к заключению.</w:t>
      </w:r>
    </w:p>
    <w:p w14:paraId="7385CC61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29.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целях исправления ошибок, выявленных при проведении аудиторского мероприятия, вправе предоставлять субъектам бюджетных процедур промежуточные итоги аудиторского мероприятия.</w:t>
      </w:r>
    </w:p>
    <w:p w14:paraId="6EFE9B3F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30. Аудитор, в том числе в целях применения метода внутреннего финансового аудита подтверждения, обеспечивает формирование и направление (проектов) аналитических записок и (или) проекта заключения субъектам бюджетных процедур, в отношении которых получена информация о реализации бюджетных рисков, разработаны предложения (рекомендации) по реализации мер по повышению качества финансового менеджмента (проект заключения по результатам аудиторского мероприятия в целях подтверждения достоверности бюджетной отчетности в течение очередного финансового года и (или) аналитические записки к нему могут не направляться).</w:t>
      </w:r>
    </w:p>
    <w:p w14:paraId="3896C363" w14:textId="4C893F93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31. Субъекты бюджетных процедур в случаях, указанных в пунктах 29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30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положения, имеют право представить аудитору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замечания, возражения и (или) уточнения в течение 5 рабочих дней со дня получения аналитических записок и (или) проекта заключения.</w:t>
      </w:r>
    </w:p>
    <w:p w14:paraId="0AD27E6A" w14:textId="75580373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32.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несогласия с представленными в соответствии с пунктом 31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 замечаниями, возражениями и (или) уточнениями представляет мотивированную позицию в течение 5 рабочих дней со дня получения последнего замечания, возражения и (или) уточнения по аудиторскому мероприятию.</w:t>
      </w:r>
    </w:p>
    <w:p w14:paraId="48486CFE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Мотивированные позиции аудитора, указанные в настоящем пункте, и соответствующие замечания, возражения и (или) уточнения субъектов бюджетных процедур включаются в состав заключения.</w:t>
      </w:r>
    </w:p>
    <w:p w14:paraId="1D8A26DD" w14:textId="77777777" w:rsidR="00F60B12" w:rsidRPr="00045359" w:rsidRDefault="00F60B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5801B6EA" w14:textId="77777777" w:rsidR="00F60B12" w:rsidRPr="00045359" w:rsidRDefault="003C5512" w:rsidP="00006CC9">
      <w:pPr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IV</w:t>
      </w: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Реализация результатов аудиторских мероприятий</w:t>
      </w:r>
    </w:p>
    <w:p w14:paraId="54D3058D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33. По результатам рассмотрения замечаний, возражений и (или) уточнений проект заключения (проект аналитической записки) при необходимости корректируется.</w:t>
      </w:r>
    </w:p>
    <w:p w14:paraId="3E88C432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34. Исправления в заключение после его подписания аудитором вносятся в следующих случаях:</w:t>
      </w:r>
    </w:p>
    <w:p w14:paraId="1FDB8111" w14:textId="77777777" w:rsidR="00F60B12" w:rsidRPr="00045359" w:rsidRDefault="003C5512" w:rsidP="00045359">
      <w:pPr>
        <w:numPr>
          <w:ilvl w:val="0"/>
          <w:numId w:val="5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выявление в заключении существенной ошибки (искажения), наличие которой влияет на выводы о степени надежности внутреннего финансового контроля, о наличии фактов и (или) признаков, влияющих на достоверность бюджетной отчетности, о соответствии порядка ведения бюджетного учета единой методологии бюджетного учета, составления, представления и утверждения бюджетной отчетности, и (или) выводы о качестве исполнения бюджетных полномочий главного распорядителя (распорядителя) бюджетных средств, получателя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бюджета;</w:t>
      </w:r>
    </w:p>
    <w:p w14:paraId="42F326EB" w14:textId="77777777" w:rsidR="00F60B12" w:rsidRPr="00045359" w:rsidRDefault="003C5512" w:rsidP="00045359">
      <w:pPr>
        <w:numPr>
          <w:ilvl w:val="0"/>
          <w:numId w:val="5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получение информации, которая не была доступна на дату окончания аудиторского мероприятия и наличие которой существенно влияет на выводы, предложения и рекомендации по результатам аудиторского мероприятия.</w:t>
      </w:r>
    </w:p>
    <w:p w14:paraId="0528D2A0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Существенность влияния на выводы, предложения и рекомендации по результатам аудиторского мероприятия определяется исходя из суждения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аудитора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необходимости их последующего включения в годовую отчетность о результатах деятельности субъекта внутреннего финансового аудита как наиболее значимых выводов, предложений и рекомендаций субъекта внутреннего финансового аудита.</w:t>
      </w:r>
    </w:p>
    <w:p w14:paraId="0A250205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Проект заключения с исправлениями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 субъектам бюджетных процедур, в отношении которых вносятся исправления в заключение.</w:t>
      </w:r>
    </w:p>
    <w:p w14:paraId="48CB2EA4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Субъекты бюджетных процедур имеют право представить аудитору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замечания, возражения и (или) уточнения в течение 5 рабочих дней со дня получения проекта заключения с исправлениями.</w:t>
      </w:r>
    </w:p>
    <w:p w14:paraId="35C92597" w14:textId="38B6E99B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Заключение с исправлениями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направляет руководителю 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006CC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субъектам бюджетных процедур, в том числе получившим первоначальный вариант заключения.</w:t>
      </w:r>
    </w:p>
    <w:p w14:paraId="00B3EDCC" w14:textId="767E19ED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35. </w:t>
      </w:r>
      <w:r w:rsidR="00092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П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результатам рассмотрения заключения </w:t>
      </w:r>
      <w:r w:rsidR="00092C44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выпускается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распоряжение</w:t>
      </w:r>
      <w:r w:rsidR="00092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которое в том числе может содержать:</w:t>
      </w:r>
    </w:p>
    <w:p w14:paraId="11B659B8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указание по составлению, утверждению и представлению аудитору субъектами бюджетных процедур планов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процедуры;</w:t>
      </w:r>
    </w:p>
    <w:p w14:paraId="1B9C9A93" w14:textId="12EB5313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указание по исполнению в устанавливаемый 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главой городского округа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14:paraId="61E2B741" w14:textId="5A6D9308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36. Р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аспоряжение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(информация о решении), указанное в подпункте «а» пункта 35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настоящего положения, и заключение, в отношении которого принято соответствующее решение, направляются руководителем аудиторской группы с использованием системы электронного документооборота 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субъектам бюджетных процедур, указанным в пункте 12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Федерального стандарта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«Реализация результатов внутреннего финансового аудита», утвержденного приказом Минфина от 22.05.2020 № 91н (далее – Стандарт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«Реализация результатов»), не позднее 5 рабочих дней со дня 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регистрации распоряжения администрации го Красногорск.</w:t>
      </w:r>
    </w:p>
    <w:p w14:paraId="519D237F" w14:textId="53FF33AF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37. В случае </w:t>
      </w:r>
      <w:r w:rsidR="00092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издания распоряжения администрации 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Красногорск</w:t>
      </w:r>
      <w:r w:rsidR="00092C4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соответствии с подпунктом «а» пункта 35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положения:</w:t>
      </w:r>
    </w:p>
    <w:p w14:paraId="1467B06E" w14:textId="19A45B3D" w:rsidR="00F60B12" w:rsidRPr="00045359" w:rsidRDefault="003C5512" w:rsidP="001E094B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разрабатывает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направляет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одновременно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="001E094B" w:rsidRP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аспоряжением</w:t>
      </w:r>
      <w:r w:rsidRPr="001E094B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9018B" w:rsidRP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 w:rsidRP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59018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проекты планов мероприятий по совершенствованию организации (обеспечения выполнения), выполнения бюджетной процедуры и (или) операций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(действий) по выполнению бюджетной процедуры в разрезе структурных подразделений </w:t>
      </w:r>
      <w:r w:rsidR="0059018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, которые содержат:</w:t>
      </w:r>
    </w:p>
    <w:p w14:paraId="68E83803" w14:textId="77777777" w:rsidR="00F60B12" w:rsidRPr="00045359" w:rsidRDefault="003C5512" w:rsidP="00045359">
      <w:pPr>
        <w:numPr>
          <w:ilvl w:val="0"/>
          <w:numId w:val="6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бюджетных рисков и (или) допущенных недостатков (нарушений);</w:t>
      </w:r>
    </w:p>
    <w:p w14:paraId="2FB9B2F1" w14:textId="77777777" w:rsidR="00F60B12" w:rsidRPr="00045359" w:rsidRDefault="003C5512" w:rsidP="00045359">
      <w:pPr>
        <w:numPr>
          <w:ilvl w:val="0"/>
          <w:numId w:val="6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предложения (рекомендации) по реализации мер по повышению качества финансового менеджмента;</w:t>
      </w:r>
    </w:p>
    <w:p w14:paraId="021297F4" w14:textId="280752C5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б) руководитель (заместитель руководителя) структурного подразделения </w:t>
      </w:r>
      <w:r w:rsidR="0059018B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C45A9C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5 рабочих дней со дня получения р</w:t>
      </w:r>
      <w:r w:rsidR="0059018B">
        <w:rPr>
          <w:rFonts w:ascii="Times New Roman" w:hAnsi="Times New Roman" w:cs="Times New Roman"/>
          <w:color w:val="000000"/>
          <w:sz w:val="28"/>
          <w:szCs w:val="28"/>
          <w:lang w:val="ru-RU"/>
        </w:rPr>
        <w:t>аспоряжения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59018B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главы городского округа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обеспечивает утверждение проекта плана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 с установлением мер по повышению качества финансового менеджмента и срока их исполнения, его направление аудитору одновременно со служебной запиской, содержащей сведения о причинах произведенного уточнения (в случае уточнения проекта плана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процедуры) и (или) направление субъекту внутреннего финансового аудита служебной записки, содержащей мотивированный отказ от утверждения плана мероприятий (отдельных положений плана мероприятий)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процедуры.</w:t>
      </w:r>
    </w:p>
    <w:p w14:paraId="1E5C1B4C" w14:textId="12461A7B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Направление предусмотренных настоящим пунктом документов осуществляется с использованием системы электронного документооборота 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4E8FFA2B" w14:textId="22DE5B2B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38. На основании </w:t>
      </w:r>
      <w:r w:rsidR="00092C44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распоряжения 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подпунктом «б» пункта 35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данных, представляемых в соответствии с</w:t>
      </w:r>
      <w:r w:rsidR="001E094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пунктом 33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положения,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ведет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сводный план, содержащий:</w:t>
      </w:r>
    </w:p>
    <w:p w14:paraId="047D2003" w14:textId="77777777" w:rsidR="00F60B12" w:rsidRPr="00045359" w:rsidRDefault="003C5512" w:rsidP="00045359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описание бюджетного риска и (или) допущенного недостатка (нарушения);</w:t>
      </w:r>
    </w:p>
    <w:p w14:paraId="4F41C524" w14:textId="4935C30C" w:rsidR="00F60B12" w:rsidRPr="00945C60" w:rsidRDefault="003C5512" w:rsidP="00045359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наименование структурного подразделения 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2934DCCE" w14:textId="77777777" w:rsidR="00F60B12" w:rsidRPr="00045359" w:rsidRDefault="003C5512" w:rsidP="00045359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меры по повышению качества финансового менеджмента;</w:t>
      </w:r>
    </w:p>
    <w:p w14:paraId="6C07A5CC" w14:textId="77777777" w:rsidR="00F60B12" w:rsidRPr="00045359" w:rsidRDefault="003C5512" w:rsidP="00045359">
      <w:pPr>
        <w:numPr>
          <w:ilvl w:val="0"/>
          <w:numId w:val="7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срок исполнения мер по повышению качества финансового менеджмента;</w:t>
      </w:r>
    </w:p>
    <w:p w14:paraId="7C707094" w14:textId="77777777" w:rsidR="00F60B12" w:rsidRPr="00045359" w:rsidRDefault="003C5512" w:rsidP="00045359">
      <w:pPr>
        <w:numPr>
          <w:ilvl w:val="0"/>
          <w:numId w:val="7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реквизиты документа, направленного в соответствии с пунктом 37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положения, или решения, принятого в соответствии с подпунктом «б» пункта 35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настоящего положения, являющегося основанием для включения мероприятия в Сводный план.</w:t>
      </w:r>
    </w:p>
    <w:p w14:paraId="009BC625" w14:textId="1FBFAE53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39. В целях формирования отчета по Сводному плану информацию о достигнутом (конечном, промежуточном) результате реализации мер по повышению качества финансового менеджмента структурные подразделения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представляют аудитору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не позднее 10-го рабочего дня месяца, следующего за отчетным кварталом.</w:t>
      </w:r>
    </w:p>
    <w:p w14:paraId="730D2DF7" w14:textId="18E730D6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40. Мониторинг реализации мер по минимизации и устранению бюджетных рисков осуществляется в рамках формирования (актуализации) реестра бюджетных рисков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 очередной финансовый год путем:</w:t>
      </w:r>
    </w:p>
    <w:p w14:paraId="5BA9433B" w14:textId="77777777" w:rsidR="00F60B12" w:rsidRPr="00045359" w:rsidRDefault="003C5512" w:rsidP="00045359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проведения аудиторских мероприятий по переоценке бюджетных рисков;</w:t>
      </w:r>
    </w:p>
    <w:p w14:paraId="07852666" w14:textId="77777777" w:rsidR="00F60B12" w:rsidRPr="00045359" w:rsidRDefault="003C5512" w:rsidP="00045359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мониторинга реализации субъектами бюджетных процедур мер по повышению качества финансового менеджмента на основе данных субъектов бюджетных процедур в отчете по Сводному плану;</w:t>
      </w:r>
    </w:p>
    <w:p w14:paraId="1A1EC31D" w14:textId="77777777" w:rsidR="00F60B12" w:rsidRPr="00045359" w:rsidRDefault="003C5512" w:rsidP="00045359">
      <w:pPr>
        <w:numPr>
          <w:ilvl w:val="0"/>
          <w:numId w:val="8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актуализации данных о мерах по повышению качества финансового менеджмента в реестре бюджетных рисков Агентства;</w:t>
      </w:r>
    </w:p>
    <w:p w14:paraId="293001E2" w14:textId="2E17BBA8" w:rsidR="00F60B12" w:rsidRPr="00045359" w:rsidRDefault="003C5512" w:rsidP="00045359">
      <w:pPr>
        <w:numPr>
          <w:ilvl w:val="0"/>
          <w:numId w:val="8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актуализации оценки бюджетных рисков в реестре бюджетных рисков 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Администрации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результатам анализа данных об осуществлении (неосуществлении, изменении, отказе от осуществления) мер по повышению качества финансового менеджмента.</w:t>
      </w:r>
    </w:p>
    <w:p w14:paraId="31C5067B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41. В случае выявления в ходе мониторинга реализации субъектами бюджетных процедур мер по повышению качества финансового менеджмента неисполненных мер по повышению качества финансового менеджмента с истекшим сроком исполнения:</w:t>
      </w:r>
    </w:p>
    <w:p w14:paraId="6E966C2E" w14:textId="2D1DE4E9" w:rsidR="00F60B12" w:rsidRPr="00045359" w:rsidRDefault="003C5512" w:rsidP="00045359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сроки исполнения меры по повышению качества финансового менеджмента могут быть уточнены не более одного раза структурными подразделениями 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период, не превышающий 12 месяцев, при представлении обоснований необходимости переноса сроков исполнения с описанием причин неисполнения;</w:t>
      </w:r>
    </w:p>
    <w:p w14:paraId="1BC11633" w14:textId="66C4F528" w:rsidR="00F60B12" w:rsidRPr="00945C60" w:rsidRDefault="003C5512" w:rsidP="00045359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случае выявления неисполненных мер по повышению качества финансового менеджмента, срок исполнения которых определен в соответствии с подпунктом «а» настоящего пункта, структурными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подразделениями 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субъекту внутреннего финансового аудита представляется доклад о ходе исполнения и причинах неисполнения мер по повышению качества финансового менеджмента в целях включения указанного доклада в годовую отчетность о результатах деятельности аудитора для представления 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главе городского округа Красногорск</w:t>
      </w:r>
      <w:r w:rsidRP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14:paraId="597D752C" w14:textId="77777777" w:rsidR="00F60B12" w:rsidRPr="00045359" w:rsidRDefault="003C5512" w:rsidP="00045359">
      <w:pPr>
        <w:numPr>
          <w:ilvl w:val="0"/>
          <w:numId w:val="9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мотивированного отказа субъектов бюджетных процедур от исполнения мер по повышению качества финансового менеджмента, ранее определенных им в рамках составления и утверждения плана мероприятий по совершенствованию организации (обеспечения выполнения), выполнения бюджетной процедуры и (или) операций (действий) по выполнению бюджетной процедуры, по согласованию с аудитором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указанная мера исключается из Сводного плана;</w:t>
      </w:r>
    </w:p>
    <w:p w14:paraId="3D05003C" w14:textId="77777777" w:rsidR="00F60B12" w:rsidRPr="00045359" w:rsidRDefault="003C5512" w:rsidP="00045359">
      <w:pPr>
        <w:numPr>
          <w:ilvl w:val="0"/>
          <w:numId w:val="9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 случае нецелесообразности (невозможности) исполнения мер по повышению качества финансового менеджмента в связи с изменением законодательства РФ (нормативных правовых актов), регулирующих осуществление операций (действий) по выполнению бюджетных процедур, указанная мера исключается из Сводного плана.</w:t>
      </w:r>
    </w:p>
    <w:p w14:paraId="03E6E32E" w14:textId="77777777" w:rsidR="00F60B12" w:rsidRPr="00045359" w:rsidRDefault="00F60B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14:paraId="4BA605F8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</w:t>
      </w:r>
      <w:r w:rsidRPr="00045359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. Годовая отчетность о результатах деятельности аудитора за отчетный год</w:t>
      </w:r>
    </w:p>
    <w:p w14:paraId="3B3FE604" w14:textId="4EC3EAD9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42.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составляет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представляет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годовую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отчетность о результатах деятельности за отчетный год 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главе городского округа Красногорск н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е позднее 1 марта года, следующего за отчетным.</w:t>
      </w:r>
    </w:p>
    <w:p w14:paraId="1D680903" w14:textId="2E8876E8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43. В годовую отчетность о результатах деятельности аудитора за отчетный год включается информация в соответствии:</w:t>
      </w:r>
    </w:p>
    <w:p w14:paraId="3B2E7E99" w14:textId="76B0D3B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с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подпунктами «а»–«д» пункта 29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Стандарта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«Реализация результатов» путем указания тем и дат (месяцев) окончания аудиторских мероприятий (в соответствии с планом проведения аудиторских мероприятий 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очередной финансовый год, а также р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аспоряжениями главы городского округа Красногорск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проведении внеплановых аудиторских мероприятий (при наличии)) и соответствующих им сведений или суждений:</w:t>
      </w:r>
    </w:p>
    <w:p w14:paraId="01BB8A81" w14:textId="0181B40B" w:rsidR="00F60B12" w:rsidRPr="00045359" w:rsidRDefault="003C5512" w:rsidP="00045359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 реквизитах заключения (дата и номер), причинах неисполнения в отчетном финансовом году плана проведения аудиторских мероприятий 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 очередной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финансовый год (при наличии не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проведенных (несвоевременно проведенных) аудиторских мероприятий);</w:t>
      </w:r>
    </w:p>
    <w:p w14:paraId="12BD1EF4" w14:textId="77777777" w:rsidR="00F60B12" w:rsidRPr="00045359" w:rsidRDefault="003C5512" w:rsidP="00045359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степени надежности внутреннего финансового контроля по каждой бюджетной процедуре и (или) операции (действию) по выполнению бюджетной процедуры, оцененной в ходе проведенных в отчетном финансовом году аудиторских мероприятий;</w:t>
      </w:r>
    </w:p>
    <w:p w14:paraId="7C5930EF" w14:textId="77777777" w:rsidR="00F60B12" w:rsidRPr="00045359" w:rsidRDefault="003C5512" w:rsidP="00045359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результатах оценки исполнения бюджетных полномочий главного распорядителя (распорядителя) бюджетных средств, получателя бюджетных средств, главного администратора (администратора) доходов бюджета, главного администратора (администратора) источников финансирования дефицита бюджета путем указания (при наличии):</w:t>
      </w:r>
    </w:p>
    <w:p w14:paraId="04B73DCF" w14:textId="77777777" w:rsidR="00F60B12" w:rsidRPr="00045359" w:rsidRDefault="003C5512" w:rsidP="00045359">
      <w:pPr>
        <w:numPr>
          <w:ilvl w:val="0"/>
          <w:numId w:val="10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суждений </w:t>
      </w:r>
      <w:proofErr w:type="gramStart"/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аудитора  о</w:t>
      </w:r>
      <w:proofErr w:type="gramEnd"/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полноте исполнения требований бюджетного законодательства РФ и иных нормативных правовых актов, регулирующих бюджетные правоотношения;</w:t>
      </w:r>
    </w:p>
    <w:p w14:paraId="04CAE0C8" w14:textId="4B4313C7" w:rsidR="00F60B12" w:rsidRPr="00045359" w:rsidRDefault="003C5512" w:rsidP="00045359">
      <w:pPr>
        <w:numPr>
          <w:ilvl w:val="0"/>
          <w:numId w:val="10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значений показателей качества финансового менеджмента по каждой соответствующей бюджетной процедуре и (или) операции (действию) по выполнению бюджетной процедуры, оцененной в ходе аудиторского мероприятия, рассчитанных для </w:t>
      </w:r>
      <w:r w:rsidR="00945C60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216D9B">
        <w:rPr>
          <w:rFonts w:ascii="Times New Roman" w:hAnsi="Times New Roman" w:cs="Times New Roman"/>
          <w:color w:val="000000"/>
          <w:sz w:val="28"/>
          <w:szCs w:val="28"/>
          <w:lang w:val="ru-RU"/>
        </w:rPr>
        <w:t>дминистрации го Красногорск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пунктом 6 статьи 160.2-1 БК, по состоянию на 15 ноября отчетного финансового года, и отклонений от целевого ориентира значения показателя качества финансового менеджмента по соответствующей группе показателей качества финансового менеджмента (при наличии);</w:t>
      </w:r>
    </w:p>
    <w:p w14:paraId="761DFD12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подпунктом «ж» пункта 29 Стандарта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«Реализация результатов» путем указания:</w:t>
      </w:r>
    </w:p>
    <w:p w14:paraId="77828004" w14:textId="77777777" w:rsidR="00F60B12" w:rsidRPr="00045359" w:rsidRDefault="003C5512" w:rsidP="00045359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количества запланированных к реализации мер по повышению качества финансового менеджмента по результатам аудиторских мероприятий за отчетный период;</w:t>
      </w:r>
    </w:p>
    <w:p w14:paraId="6476099E" w14:textId="77777777" w:rsidR="00F60B12" w:rsidRPr="00045359" w:rsidRDefault="003C5512" w:rsidP="00045359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количества реализованных в отчетном периоде мер по повышению качества финансового менеджмента по результатам аудиторских мероприятий за отчетный период;</w:t>
      </w:r>
    </w:p>
    <w:p w14:paraId="1F5BEF75" w14:textId="77777777" w:rsidR="00F60B12" w:rsidRPr="00045359" w:rsidRDefault="003C5512" w:rsidP="00045359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основных причин неисполнения в отчетном периоде мер по повышению качества финансового менеджмента по результатам аудиторских мероприятий за отчетный период, сроки исполнения которых были определены в рамках отчетного периода;</w:t>
      </w:r>
    </w:p>
    <w:p w14:paraId="24FE150D" w14:textId="77777777" w:rsidR="00F60B12" w:rsidRPr="00045359" w:rsidRDefault="003C5512" w:rsidP="00045359">
      <w:pPr>
        <w:numPr>
          <w:ilvl w:val="0"/>
          <w:numId w:val="11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сведений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о доле значимых бюджетных рисков в общем объеме бюджетных рисков по результатам проведенного мониторинга реализации мер по минимизации и устранению бюджетных рисков;</w:t>
      </w:r>
    </w:p>
    <w:p w14:paraId="427A5A61" w14:textId="77777777" w:rsidR="00F60B12" w:rsidRPr="00045359" w:rsidRDefault="003C5512" w:rsidP="00045359">
      <w:pPr>
        <w:numPr>
          <w:ilvl w:val="0"/>
          <w:numId w:val="11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сведений об изменении доли значимых бюджетных рисков в общем объеме бюджетных рисков по результатам проведенного мониторинга реализации мер по минимизации и устранению бюджетных рисков по сравнению с данными за предыдущий отчетный период;</w:t>
      </w:r>
    </w:p>
    <w:p w14:paraId="6AEA2017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в) абзацами 3 и 4 подпункта «е» пункта 29 Стандарта «Реализация результатов» путем описания наиболее значимых (при наличии):</w:t>
      </w:r>
    </w:p>
    <w:p w14:paraId="32DDFEED" w14:textId="77777777" w:rsidR="00F60B12" w:rsidRPr="00045359" w:rsidRDefault="003C5512" w:rsidP="00045359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нарушений и (или) недостатков, препятствующих выполнению (корректному выполнению) бюджетной процедуры, операции (действия) по выполнению бюджетной процедуры в полном объеме и своевременно, в том числе причин и условий их </w:t>
      </w:r>
      <w:proofErr w:type="gramStart"/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реализации ;</w:t>
      </w:r>
      <w:proofErr w:type="gramEnd"/>
    </w:p>
    <w:p w14:paraId="0989AB95" w14:textId="77777777" w:rsidR="00F60B12" w:rsidRPr="00045359" w:rsidRDefault="003C5512" w:rsidP="00045359">
      <w:pPr>
        <w:numPr>
          <w:ilvl w:val="0"/>
          <w:numId w:val="12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бюджетных рисков, в том числе остаточных бюджетных рисков, причинами возникновения которых не является недостаточный внутренний финансовый контроль, в том числе причин их реализации;</w:t>
      </w:r>
    </w:p>
    <w:p w14:paraId="018832AC" w14:textId="77777777" w:rsidR="00F60B12" w:rsidRPr="00045359" w:rsidRDefault="003C5512" w:rsidP="00045359">
      <w:pPr>
        <w:numPr>
          <w:ilvl w:val="0"/>
          <w:numId w:val="12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мер по повышению качества финансового менеджмента согласно отчету по Сводному плану, влияющих на операционную эффективность осуществления бюджетных процедур, операций (действий) по выполнению бюджетных процедур, позволяющих минимизировать (устранить) бюджетные риски в последующих финансовых годах;</w:t>
      </w:r>
    </w:p>
    <w:p w14:paraId="610CA528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г) абзацем 5 подпункта «е» пункта 29 Стандарта «Реализация результатов» путем описания примеров (лучших практик) организации (обеспечения выполнения), выполнения бюджетных процедур, операций (действий):</w:t>
      </w:r>
    </w:p>
    <w:p w14:paraId="3D28E3F9" w14:textId="77777777" w:rsidR="00F60B12" w:rsidRPr="00045359" w:rsidRDefault="003C5512" w:rsidP="00045359">
      <w:pPr>
        <w:numPr>
          <w:ilvl w:val="0"/>
          <w:numId w:val="13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выполнению бюджетных процедур, не установленных нормативными (правовыми) актами и (или) необеспеченных подсистемами (компонентами, модулями) автоматизированных информационных систем и прикладного программного обеспечения (при наличии);</w:t>
      </w:r>
    </w:p>
    <w:p w14:paraId="64BE90BC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д) абзацем 2 подпункта «е» пункта 29 Стандарта «Реализация результатов» путем описания наиболее значимых (при наличии):</w:t>
      </w:r>
    </w:p>
    <w:p w14:paraId="7DC36EDC" w14:textId="77777777" w:rsidR="00F60B12" w:rsidRPr="00045359" w:rsidRDefault="003C5512" w:rsidP="00045359">
      <w:pPr>
        <w:numPr>
          <w:ilvl w:val="0"/>
          <w:numId w:val="14"/>
        </w:numPr>
        <w:ind w:left="780" w:right="18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предложений и рекомендаций аудитора, влияющих на операционную эффективность осуществления бюджетных процедур, операций (действий) по выполнению бюджетных процедур, нарушения (недостатки) по которым в рамках проведенных аудиторских мероприятий не установлены;</w:t>
      </w:r>
    </w:p>
    <w:p w14:paraId="4D80E3B5" w14:textId="77777777" w:rsidR="00F60B12" w:rsidRPr="00045359" w:rsidRDefault="003C5512" w:rsidP="00045359">
      <w:pPr>
        <w:numPr>
          <w:ilvl w:val="0"/>
          <w:numId w:val="14"/>
        </w:numPr>
        <w:ind w:left="780" w:right="18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выводов в отношении условий, в которых осуществляются бюджетные процедуры, операции (действия) по выполнению бюджетных процедур (нормативно-правовое регулирование бюджетных процедур, операций (действий) по выполнению бюджетных процедур), в том числе информационных систем, в которых выполняются бюджетные процедуры, операции (действия) по выполнению бюджетных процедур;</w:t>
      </w:r>
    </w:p>
    <w:p w14:paraId="64AC8545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е) подпунктом «з» пункта 29 Стандарта «Реализация результатов» путем описания причин изменения плана проведения аудиторских мероприятий Агентству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 отчетный финансовый год;</w:t>
      </w:r>
    </w:p>
    <w:p w14:paraId="4981A532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ж) подпунктом «и» пункта 29 Стандарта «Реализация результатов».</w:t>
      </w:r>
    </w:p>
    <w:p w14:paraId="0DAB560B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годовой отчетности о результатах деятельности </w:t>
      </w:r>
      <w:proofErr w:type="gramStart"/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аудитора  за</w:t>
      </w:r>
      <w:proofErr w:type="gramEnd"/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отчетный год указываются дата подписания, должность, фамилия и инициалы, подпись аудитора.</w:t>
      </w:r>
    </w:p>
    <w:p w14:paraId="0110A689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годовую отчетность о результатах деятельности </w:t>
      </w:r>
      <w:proofErr w:type="gramStart"/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аудитора  за</w:t>
      </w:r>
      <w:proofErr w:type="gramEnd"/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отчетный год включается иная информация, которую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признал значимой.</w:t>
      </w:r>
    </w:p>
    <w:p w14:paraId="76D194A2" w14:textId="77777777" w:rsidR="00F60B12" w:rsidRPr="00045359" w:rsidRDefault="003C55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44. По результатам рассмотрения годовой отчетности о результатах деятельности аудитора за отчетный год аудитор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исключает из Сводного плана</w:t>
      </w:r>
      <w:r w:rsidRPr="00045359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045359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реализованные меры по повышению качества финансового менеджмента.</w:t>
      </w:r>
    </w:p>
    <w:p w14:paraId="613FF3E7" w14:textId="77777777" w:rsidR="00F60B12" w:rsidRPr="00045359" w:rsidRDefault="00F60B12" w:rsidP="00045359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56"/>
        <w:gridCol w:w="156"/>
        <w:gridCol w:w="156"/>
      </w:tblGrid>
      <w:tr w:rsidR="00F60B12" w:rsidRPr="00756FC2" w14:paraId="7528197B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6D7CBD42" w14:textId="02FDCDC3" w:rsidR="00F60B12" w:rsidRPr="005A4556" w:rsidRDefault="00F60B12" w:rsidP="00045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56CBC" w14:textId="77777777" w:rsidR="00F60B12" w:rsidRPr="005A4556" w:rsidRDefault="00F60B12" w:rsidP="0004535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D94787" w14:textId="77777777" w:rsidR="00F60B12" w:rsidRPr="005A4556" w:rsidRDefault="00F60B12" w:rsidP="00045359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C5FC21A" w14:textId="77777777" w:rsidR="00F60B12" w:rsidRDefault="00F60B12" w:rsidP="00045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33B5F56" w14:textId="77777777" w:rsidR="0036334B" w:rsidRDefault="0036334B" w:rsidP="00045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6990A540" w14:textId="77777777" w:rsidR="0036334B" w:rsidRDefault="0036334B" w:rsidP="00045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10C7025B" w14:textId="77777777" w:rsidR="0036334B" w:rsidRDefault="0036334B" w:rsidP="00045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3312970" w14:textId="77777777" w:rsidR="0036334B" w:rsidRDefault="0036334B" w:rsidP="00045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47D965A" w14:textId="77777777" w:rsidR="0036334B" w:rsidRDefault="0036334B" w:rsidP="00045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33BE49BA" w14:textId="77777777" w:rsidR="0036334B" w:rsidRDefault="0036334B" w:rsidP="00045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14:paraId="7E9A0112" w14:textId="52257B73" w:rsidR="0036334B" w:rsidRPr="005A4556" w:rsidRDefault="0036334B" w:rsidP="0004535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60B12" w:rsidRPr="00756FC2" w14:paraId="7E01314F" w14:textId="77777777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666CF6" w14:textId="77777777" w:rsidR="00F60B12" w:rsidRPr="005A4556" w:rsidRDefault="00F60B12" w:rsidP="005A455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6ED4C9" w14:textId="77777777" w:rsidR="00F60B12" w:rsidRPr="005A4556" w:rsidRDefault="00F60B12" w:rsidP="005A455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E5FE6E" w14:textId="77777777" w:rsidR="00F60B12" w:rsidRPr="005A4556" w:rsidRDefault="00F60B12" w:rsidP="005A455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A5EB2E0" w14:textId="77777777" w:rsidR="00F60B12" w:rsidRPr="005A4556" w:rsidRDefault="00F60B12" w:rsidP="005A4556">
            <w:pPr>
              <w:ind w:left="75" w:right="7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</w:tr>
    </w:tbl>
    <w:p w14:paraId="56E82222" w14:textId="77777777" w:rsidR="005A4556" w:rsidRPr="005A4556" w:rsidRDefault="005A4556" w:rsidP="0036334B">
      <w:pPr>
        <w:shd w:val="clear" w:color="auto" w:fill="FFFFFF"/>
        <w:spacing w:before="0" w:beforeAutospacing="0" w:after="150" w:afterAutospacing="0"/>
        <w:jc w:val="right"/>
        <w:rPr>
          <w:rFonts w:ascii="Arial" w:eastAsia="Times New Roman" w:hAnsi="Arial" w:cs="Arial"/>
          <w:color w:val="222222"/>
          <w:sz w:val="28"/>
          <w:szCs w:val="28"/>
          <w:lang w:val="ru-RU" w:eastAsia="ru-RU"/>
        </w:rPr>
      </w:pPr>
      <w:r w:rsidRPr="005A4556">
        <w:rPr>
          <w:rFonts w:ascii="Arial" w:eastAsia="Times New Roman" w:hAnsi="Arial" w:cs="Arial"/>
          <w:color w:val="222222"/>
          <w:sz w:val="28"/>
          <w:szCs w:val="28"/>
          <w:lang w:val="ru-RU" w:eastAsia="ru-RU"/>
        </w:rPr>
        <w:lastRenderedPageBreak/>
        <w:t>Приложение № 1</w:t>
      </w:r>
    </w:p>
    <w:p w14:paraId="3BC5CAF4" w14:textId="77777777" w:rsidR="0036334B" w:rsidRPr="007A2AE5" w:rsidRDefault="005A4556" w:rsidP="0036334B">
      <w:pPr>
        <w:pStyle w:val="a3"/>
        <w:spacing w:before="0" w:beforeAutospacing="0" w:after="0" w:afterAutospacing="0" w:line="273" w:lineRule="auto"/>
        <w:ind w:firstLine="709"/>
        <w:jc w:val="right"/>
      </w:pPr>
      <w:r w:rsidRPr="005A4556">
        <w:rPr>
          <w:rFonts w:ascii="Arial" w:hAnsi="Arial" w:cs="Arial"/>
          <w:color w:val="222222"/>
          <w:sz w:val="28"/>
          <w:szCs w:val="28"/>
        </w:rPr>
        <w:t xml:space="preserve">к </w:t>
      </w:r>
      <w:r w:rsidR="0036334B" w:rsidRPr="007A2AE5">
        <w:rPr>
          <w:color w:val="000000"/>
          <w:sz w:val="28"/>
          <w:szCs w:val="28"/>
        </w:rPr>
        <w:t>Положение об организации и осуществлении</w:t>
      </w:r>
    </w:p>
    <w:p w14:paraId="2E07B7F3" w14:textId="77777777" w:rsidR="0036334B" w:rsidRPr="007A2AE5" w:rsidRDefault="0036334B" w:rsidP="0036334B">
      <w:pPr>
        <w:pStyle w:val="a3"/>
        <w:spacing w:before="0" w:beforeAutospacing="0" w:after="0" w:afterAutospacing="0" w:line="273" w:lineRule="auto"/>
        <w:ind w:firstLine="709"/>
        <w:jc w:val="right"/>
      </w:pPr>
      <w:r w:rsidRPr="007A2AE5">
        <w:rPr>
          <w:color w:val="000000"/>
          <w:sz w:val="28"/>
          <w:szCs w:val="28"/>
        </w:rPr>
        <w:t>внутреннего финансового аудита в администрации городского округа Красногорск</w:t>
      </w:r>
      <w:r>
        <w:rPr>
          <w:color w:val="000000"/>
          <w:sz w:val="28"/>
          <w:szCs w:val="28"/>
        </w:rPr>
        <w:t xml:space="preserve"> Московской области</w:t>
      </w:r>
    </w:p>
    <w:p w14:paraId="1F0F201E" w14:textId="5C396FB8" w:rsidR="005A4556" w:rsidRPr="005A4556" w:rsidRDefault="005A4556" w:rsidP="0036334B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Pr="005A45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Методика проведения аудиторского мероприятия в целях подтверждения достоверности</w:t>
      </w:r>
      <w:r w:rsidR="0036334B" w:rsidRPr="0036334B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бюджетной отчетности</w:t>
      </w:r>
      <w:r w:rsidR="00CE202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администрации городского округа Красногорск</w:t>
      </w:r>
    </w:p>
    <w:p w14:paraId="224FDC1E" w14:textId="77777777" w:rsidR="005A4556" w:rsidRPr="005A4556" w:rsidRDefault="005A4556" w:rsidP="0036334B">
      <w:pPr>
        <w:shd w:val="clear" w:color="auto" w:fill="FFFFFF"/>
        <w:spacing w:before="0" w:beforeAutospacing="0" w:after="150" w:afterAutospacing="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val="ru-RU" w:eastAsia="ru-RU"/>
        </w:rPr>
        <w:t>I. Общие положения</w:t>
      </w:r>
    </w:p>
    <w:p w14:paraId="6CBC2DBB" w14:textId="0DD8530F" w:rsidR="005A4556" w:rsidRPr="005A4556" w:rsidRDefault="005A4556" w:rsidP="005A4556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1. Формирование суждения субъекта внутреннего финансового аудита о достоверности бюджетной отчетности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администрации го Красногорск и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соответствии порядка ведения бюджетного учета единой методологии бюджетного учета, составления, представления и утверждения бюджетной отчетности (далее – достоверность бюджетной отчетности) осуществляется аудиторской группой в соответствии с федеральными стандартами внутреннего финансового аудита в отношении годовой бюджетной отчетности 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администрации го Красногорск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как получателя средств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бюджета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городского округа Красногорск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администратора доходов бюджета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городского округа Красногорск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, администратора источников финансирования дефицита 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бюджета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городского округа Красногорск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(далее соответственно – бюджетная отчетность, субъекты бюджетных процедур).</w:t>
      </w:r>
    </w:p>
    <w:p w14:paraId="0A33600A" w14:textId="77777777" w:rsidR="005A4556" w:rsidRPr="005A4556" w:rsidRDefault="005A4556" w:rsidP="005A4556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2. Формирование суждения о наличии фактов и (или) признаков, влияющих на достоверность бюджетной отчетности, осуществляется путем сбора и анализа информации об организации (обеспечении выполнения), выполнении бюджетной процедуры ведения бюджетного учета и составления, представления и утверждения бюджетной отчетности в рамках проведения двух аудиторских мероприятий в отношении:</w:t>
      </w:r>
    </w:p>
    <w:p w14:paraId="6FF811E8" w14:textId="77777777" w:rsidR="005A4556" w:rsidRPr="005A4556" w:rsidRDefault="005A4556" w:rsidP="005A4556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законности, своевременности, полноты и правильности формирования финансовых и первичных учетных документов, а также своевременности передачи для регистрации в уполномоченный орган (уполномоченную организацию) первичных учетных документов, которыми оформлены факты хозяйственной жизни;</w:t>
      </w:r>
    </w:p>
    <w:p w14:paraId="1AD3ECEA" w14:textId="3EF71D39" w:rsidR="005A4556" w:rsidRPr="005A4556" w:rsidRDefault="005A4556" w:rsidP="005A4556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недостижения целей и несоблюдения порядка проведения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инвентаризации объектов бюджетного учета, проводимой перед составлением годовой бюджетной отчетности;</w:t>
      </w:r>
    </w:p>
    <w:p w14:paraId="4F349BC2" w14:textId="2928E515" w:rsidR="005A4556" w:rsidRPr="005A4556" w:rsidRDefault="005A4556" w:rsidP="005A4556">
      <w:pPr>
        <w:numPr>
          <w:ilvl w:val="0"/>
          <w:numId w:val="15"/>
        </w:numPr>
        <w:shd w:val="clear" w:color="auto" w:fill="FFFFFF"/>
        <w:spacing w:before="0" w:beforeAutospacing="0" w:after="0" w:afterAutospacing="0"/>
        <w:ind w:left="99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достоверности и соблюдения требований полноты, нейтральности и отсутствия существенных ошибок в Пояснительной записке к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lastRenderedPageBreak/>
        <w:t>бюджетной отчетности (ф. 0503160) (далее – Пояснительная записка).</w:t>
      </w:r>
    </w:p>
    <w:p w14:paraId="304837A5" w14:textId="77777777" w:rsidR="005A4556" w:rsidRPr="005A4556" w:rsidRDefault="005A4556" w:rsidP="005A4556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II. Оценка законности, своевременности, полноты и правильности формирования финансовых и первичных учетных документов, а также своевременности передачи для регистрации в уполномоченный орган (уполномоченную организацию) первичных учетных документов, которыми оформлены факты хозяйственной жизни</w:t>
      </w:r>
    </w:p>
    <w:p w14:paraId="5D8B8A6F" w14:textId="146A6BC5" w:rsidR="005A4556" w:rsidRPr="005A4556" w:rsidRDefault="005A4556" w:rsidP="005A4556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3. Сбор и анализ информации об организации (обеспечении выполнения), выполнении бюджетной процедуры ведения бюджетного учета и составления, представления и утверждения бюджетной отчетности в целях оценки законности, своевременности, полноты и правильности формирования финансовых и первичных учетных документов, а также своевременности передачи для регистрации в уполномоченный орган (уполномоченную организацию) первичных учетных документов, которыми оформлены факты хозяйственной жизни, проводится в течение отчетного финансового года на основании результатов выборочного анализа соответствия фактов хозяйственной жизни первичным учетным документам, а также своевременности формирования</w:t>
      </w:r>
      <w:r w:rsid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указанных документов.</w:t>
      </w:r>
    </w:p>
    <w:p w14:paraId="4D4AA7D4" w14:textId="6491FF61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Результаты указанного анализа отражаются в заключении по результатам аудиторского мероприятия в целях подтверждения достоверности бюджетной отчетности за текущий финансовый год (далее – Промежуточное заключение заключение), и в заключении по результатам аудиторского мероприятия в целях подтверждения достоверности бюджетной отчетности за отчетный финансовый год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(далее – Итоговое заключение).</w:t>
      </w:r>
    </w:p>
    <w:p w14:paraId="4415523F" w14:textId="74D43E1C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4. Аудиторская выборка в целях осуществления анализа, указанного в пункте 3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настоящей Методики, формируется по формам первичных учетных документов, передаваемым в соответствии с Графиком,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исключением электронных сведений из информационных систем, в отношении (при наличии):</w:t>
      </w:r>
    </w:p>
    <w:p w14:paraId="010119C0" w14:textId="69C09C0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основных средств – не более 2форм первичных учетных документов, определенных Графиком,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отношении каждой из которых определяется не более 2 синтетических счетов бюджетного учета рабочего плана счетов бухгалтерского учета, применяемого для ведения бюджетного учета органов исполнительной власти (их  органов, подведомственных казенных учреждений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22458C94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б) расчетов с подотчетными лицами – не более 2 форм первичных учетных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документов, определенных Графиком, в отношении каждой из которых определяется не более2 счетов бюджетного учета, в отношении каждого из которых определяется не более 1 кода бюджетной классификации Российской Федерации;</w:t>
      </w:r>
    </w:p>
    <w:p w14:paraId="612EDB96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в) закупки товаров, работ, услуг для обеспечения государственных нужд – не более 3 форм первичных учетных документов, определенных Графиком, в отношении каждой из которых определяется не более 3 счетов бюджетного учета, в отношении каждого из которых определяется не более по 2 кодов бюджетной классификации Российской Федерации;</w:t>
      </w:r>
    </w:p>
    <w:p w14:paraId="5DAAFC51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г) непроизведенных активов – не более 2 форм первичных учетных документов, определенных Графиком, в отношении каждой из которых определяется не более 1 счета бюджетного учета;</w:t>
      </w:r>
    </w:p>
    <w:p w14:paraId="039EAA76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д) расчетов по оплате труда – не более 2 форм первичных учетных документов, определенных Графиком, в отношении каждой из которых определяется не более 1 счета бюджетного учета;</w:t>
      </w:r>
    </w:p>
    <w:p w14:paraId="78FE2E15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е) нематериальных активов – не более 3 форм первичных учетных документов, определенных Графиком, в отношении каждой из которых определяется не более 2 счетов бюджетного учета, в отношении каждого из которых определяется не более 2 кодов бюджетной классификации Российской Федерации;</w:t>
      </w:r>
    </w:p>
    <w:p w14:paraId="4A3AC4D4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ж) материальных запасов – не более 2 форм первичных учетных документов, определенных Графиком, в отношении каждой из которых определяется не более 3 счетов бюджетного учета;</w:t>
      </w:r>
    </w:p>
    <w:p w14:paraId="4B9DD3C1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з) кассовых операций – не более 1формы первичных учетных документов, определенных Графиком;</w:t>
      </w:r>
    </w:p>
    <w:p w14:paraId="00D16BAF" w14:textId="20F67415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и) операций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администрированию доходов и источников финансирования дефицита бюджета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округа Красногорск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– не более 3форм первичных учетных документов, определенных Графиком, в отношении каждой из которых определяется не более 4кодов бюджетной классификации Российской Федерации;</w:t>
      </w:r>
    </w:p>
    <w:p w14:paraId="7D1CC082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к) расчетов по субсидиям бюджетным, автономным учреждениям, юридическим лицам и межбюджетным трансфертам– не более 3 форм первичных учетных документов, определенных Графиком, в отношении каждой из которых определяется не более 5 кодов бюджетной классификации Российской Федерации;</w:t>
      </w:r>
    </w:p>
    <w:p w14:paraId="53123450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л) финансовых вложений – не более 2 форм первичных учетных документов, определенных Графиком;</w:t>
      </w:r>
    </w:p>
    <w:p w14:paraId="7C6DB474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м) объектов бюджетного учета, учитываемых на забалансовых счетах – не более 3 форм первичных учетных документов, определенных Графиком.</w:t>
      </w:r>
    </w:p>
    <w:p w14:paraId="17B0CCB7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Субъект внутреннего финансового аудита имеет право определить иные показатели, которые учитываются при формировании аудиторской выборки.</w:t>
      </w:r>
    </w:p>
    <w:p w14:paraId="74AA44A5" w14:textId="29D0110A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5. Аудиторская выборка в отношении счетов бюджетного учета в целях осуществления анализа, указанного в пункте 3настоящей Методики, формируется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подпунктам:</w:t>
      </w:r>
    </w:p>
    <w:p w14:paraId="431868AD" w14:textId="2E2A6415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«а» - «д» пункта 4настоящей Методики по счетам бюджетного учета с наибольшими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значениями показателя на момент проведения выборочного анализа;</w:t>
      </w:r>
    </w:p>
    <w:p w14:paraId="1A747CB5" w14:textId="2B4E3CFE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«е», «ж» и «к» пункта 4настоящей Методики по счетам бюджетного учета с наименьшими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значениями показателя на момент проведения выборочного анализа.</w:t>
      </w:r>
    </w:p>
    <w:p w14:paraId="01E0E6A7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Субъект внутреннего финансового аудита имеет право определить иные показатели, которые учитываются при формировании аудиторской выборки.</w:t>
      </w:r>
    </w:p>
    <w:p w14:paraId="2BFD3F4E" w14:textId="6E64A030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6. Аудиторская выборка в целях осуществления анализа, указанного в пункте 3 настоящей Методики, формируется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подпунктам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«б»,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«в», «и» и «к» пункта 4настоящей Методики, в отношении кодов бюджетной классификации Российской Федерации с наибольшими показателями кассового исполнения на момент проведения выборочного анализа.</w:t>
      </w:r>
    </w:p>
    <w:p w14:paraId="2D725461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Субъект внутреннего финансового аудита имеет право определить иные показатели, которые учитываются при формировании аудиторской выборки.</w:t>
      </w:r>
    </w:p>
    <w:p w14:paraId="161BCAD5" w14:textId="4E9DD0D4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7. Аудиторская выборка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формируется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отношении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каждого направления выборки, указанного в подпунктах «а» - «м» пункта 4 настоящей Методики (формы первичных учетных документов и (или)счета бюджетного учета и (или) кода бюджетной классификации Российской Федерации) (далее – направления выборки первичных учетных документов),в объеме не более 30 первичных учетных документов,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относящихся к периоду с начала отчетного финансового года до момента проведения выборочного анализа, одним (несколькими) из следующих способов:</w:t>
      </w:r>
    </w:p>
    <w:p w14:paraId="43410CB2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определение набора документов и информации на основе одного из следующих критериев:</w:t>
      </w:r>
    </w:p>
    <w:p w14:paraId="3190CECC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документы (информация), относящиеся к месяцу наибольшего значения рассматриваемого показателя бюджетного учета (сальдо по дебету (кредиту) на конец периода);</w:t>
      </w:r>
    </w:p>
    <w:p w14:paraId="1B5A428D" w14:textId="08FB7A74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документы (информация), относящиеся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 месяцу наибольшего изменения (увеличения, уменьшения) рассматриваемого показателя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бюджетного учета (оборот по дебету (кредиту) за период).</w:t>
      </w:r>
    </w:p>
    <w:p w14:paraId="70B7D7E9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Оценка критериев осуществляется на основании регистров бюджетного учета Казначейства России;</w:t>
      </w:r>
    </w:p>
    <w:p w14:paraId="57E30ACA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определение набора документов и информации на основе профессионального суждения субъекта внутреннего финансового аудита о наличии недостатков и (или) нарушений;</w:t>
      </w:r>
    </w:p>
    <w:p w14:paraId="3C21DF0B" w14:textId="2B21CE23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в)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определение набора документов и информации на основе оценки бюджетного риска, исходя из анализа полноты и достаточности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ведомственных актов Министерства финансов Российской Федерации для осуществления бюджетной процедуры ведения бюджетного учета и составления, представления и утверждения бюджетной отчетности, а также их соответствия требованиям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нормативными правовыми актами Казначейства России.</w:t>
      </w:r>
    </w:p>
    <w:p w14:paraId="7A7685E7" w14:textId="23A95D7C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8. В случае если количество первичных учетных документов по направлению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выборки первичных учетных документов, определенных одним из способов, указанных в пункте 7 настоящей Методики,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составляет менее 30 первичных учетных документов, объем аудиторской выборки по данному направлению выборки первичных учетных документов равен фактическому количеству первичных учетных документов, определенных одним (несколькими) из способов, указанных в пункте 7 настоящей Методики.</w:t>
      </w:r>
    </w:p>
    <w:p w14:paraId="2FFBF81D" w14:textId="33743065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9. Выборочный анализ, указанный в пункте 3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настоящей Методики, может включать следующие этапы:</w:t>
      </w:r>
    </w:p>
    <w:p w14:paraId="706A3A7D" w14:textId="1732A80A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а) определение перечня первичных учетных документов, необходимость оформления которых обусловлена свершившимися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фактами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хозяйственной жизни;</w:t>
      </w:r>
    </w:p>
    <w:p w14:paraId="3652B1F7" w14:textId="7C18804D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определение субъектов бюджетных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процедур, ответственных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формирование первичных учетных документов</w:t>
      </w:r>
      <w:r w:rsid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в соответствии с Графиком, и способа направления первичного учетного документа в 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Финансовое управление администрации городского округа Красногорск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1D822195" w14:textId="59BEE33F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в) анализ соблюдения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положений Графика и иных нормативных правовых (правовых) актов в части своевременности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первичных учетных документов, полноты передачи в отношении первичных учетных документов, передаваемых в виде электронного образа (скан-копии) или бумажного документа,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или соблюдения необходимых условий в отношении электронных первичных учетных документов;</w:t>
      </w:r>
    </w:p>
    <w:p w14:paraId="244F043B" w14:textId="1EB7F41E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г) анализ заполнения формы и содержания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передаваемого первичного учетного документа, в том числе анализ возможной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однозначности определения счета бюджетного учета,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кода бюджетной классификации Российской Федерации, подстатьи классификации операций сектора государственного управления, исходя из содержания передаваемого первичного учетного документа.</w:t>
      </w:r>
    </w:p>
    <w:p w14:paraId="066220A2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10. Полнота передачи первичных учетных документов оценивается на основе данных:</w:t>
      </w:r>
    </w:p>
    <w:p w14:paraId="7D8A881E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государственной интегрированной информационной системы управления общественными финансами «Электронный бюджет»;</w:t>
      </w:r>
    </w:p>
    <w:p w14:paraId="4694D99D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единой информационной системы в сфере закупок;</w:t>
      </w:r>
    </w:p>
    <w:p w14:paraId="576D3978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в) автоматизированной информационной системы Министерства финансов Российской Федерации «Финансы»;</w:t>
      </w:r>
    </w:p>
    <w:p w14:paraId="14429DD8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г) системы электронного документооборота Министерства финансов Российской Федерации;</w:t>
      </w:r>
    </w:p>
    <w:p w14:paraId="5AAE1480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д) Казначейства России об учете операций, осуществляемых участниками бюджетного процесса в рамках их бюджетных полномочий;</w:t>
      </w:r>
    </w:p>
    <w:p w14:paraId="635552B5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е) журналов регистрации документов (в том числе соглашений, контрактов (договоров)) субъектов бюджетных процедур;</w:t>
      </w:r>
    </w:p>
    <w:p w14:paraId="5B52CC49" w14:textId="121CD508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ж) субъектов бюджетных процедур, получаемых субъектом внутреннего финансового аудита путем направления руководителем аудиторской группы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запросов;</w:t>
      </w:r>
    </w:p>
    <w:p w14:paraId="1273E0E4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з) иных источников, данные которых, по мнению субъекта внутреннего финансового аудита, являются достоверными.</w:t>
      </w:r>
    </w:p>
    <w:p w14:paraId="0287528A" w14:textId="6C6BC468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11. По результатам проведения выборочного анализа, указанного в пункте 3настоящей Методики, оценивается риск искажения бюджетной отчетности, связанный с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несоблюдением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законности, своевременности, полноты и правильности формирования финансовых и первичных учетных документов, а также своевременности передачи для регистрации в уполномоченный орган (уполномоченную организацию) первичных учетных документов, которыми оформлены факты хозяйственной жизни,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федеральными стандартами внутреннего финансового аудита.</w:t>
      </w:r>
    </w:p>
    <w:p w14:paraId="1C762518" w14:textId="77777777" w:rsidR="005A4556" w:rsidRPr="005A4556" w:rsidRDefault="005A4556" w:rsidP="005A4556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III. Оценка достижения целей и соблюдения установленных требований к проведению инвентаризации активов и обязательств</w:t>
      </w:r>
    </w:p>
    <w:p w14:paraId="7B79BC98" w14:textId="5EC09B5C" w:rsidR="005A4556" w:rsidRPr="005A4556" w:rsidRDefault="005A4556" w:rsidP="005A4556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12. Сбор и анализ информации об организации (обеспечении выполнения), выполнении бюджетной процедуры ведения бюджетного учета и составления, представления и утверждения бюджетной отчетности в целях оценки</w:t>
      </w:r>
      <w:r w:rsidR="00C90F7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достижения целей и соблюдения</w:t>
      </w:r>
      <w:r w:rsidR="00C90F7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установленных требований к проведению инвентаризации активов и обязательств, осуществляется</w:t>
      </w:r>
      <w:r w:rsidR="00C90F74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на основании результатов выборочного анализа соответствия совокупности совершенных фактов хозяйственной жизни результатам инвентаризации.</w:t>
      </w:r>
    </w:p>
    <w:p w14:paraId="084510E1" w14:textId="1E14F2CA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Результаты проведенного анализа в отношении недостижения целей проведения инвентаризации объектов бюджетного учета, проводимой перед составлением годовой бюджетной отчетности, отражаются в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Промежуточном заключении и Итоговом заключении.</w:t>
      </w:r>
    </w:p>
    <w:p w14:paraId="5CA52C60" w14:textId="7E0C1FB6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Результаты проведенного анализа в отношении несоблюдения порядка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проведения инвентаризации объектов бюджетного учета, проводимой перед составлением годовой бюджетной отчетности, отражаются в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Итоговом Заключении.</w:t>
      </w:r>
    </w:p>
    <w:p w14:paraId="47A45842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13. Вероятность допущения ошибки в части недостижения целей проведения инвентаризации объектов бюджетного учета, проводимой перед составлением годовой бюджетной отчетности, оценивается в отчетном финансовом году в соответствии с федеральными стандартами внутреннего финансового аудита на основе выборочного анализа:</w:t>
      </w:r>
    </w:p>
    <w:p w14:paraId="06DABFB6" w14:textId="6321495B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13.1. Наличия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оснований для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соответствия дебиторской задолженности критериям признания ее активом, признания безнадежной к взысканию дебиторской задолженности; принимаемых субъектами бюджетных процедур мер по обеспечению взыскания задолженности по платежам в 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 городского округа Красногорск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 том числе путем:</w:t>
      </w:r>
    </w:p>
    <w:p w14:paraId="10F95388" w14:textId="5B2E208F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формирования аудиторской выборки из состава инвентаризационных описей по видам объектов бюджетного учета, сформированных при проведении инвентаризации в целях составления годовой бюджетной отчетности по состоянию на 1 января отчетного финансового года,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которых отражены данные о дебиторской задолженности по государственным контрактам, соглашениям, договорам, заключенным ранее чем за два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года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 даты начала отчетного финансового года, и составляющей по каждому виду объектов бюджетного учета:</w:t>
      </w:r>
    </w:p>
    <w:p w14:paraId="4806348A" w14:textId="2814D1A9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при наличии трех и менее инвентаризационных описей – 100% контрагентов с соответствующими 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муниципальными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контрактами, соглашениями, договорами;</w:t>
      </w:r>
    </w:p>
    <w:p w14:paraId="311A6B73" w14:textId="3CDB04EE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при наличии более трех и менее десяти инвентаризационных описей с соответствующими данными – не более 7 контрагентов с соответствующими 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муниципальными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контрактами, соглашениями, договорами по каждой инвентаризационной описи;</w:t>
      </w:r>
    </w:p>
    <w:p w14:paraId="5D98E208" w14:textId="06D8A9AE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 наличии десяти и более инвентаризационных описей с соответствующими данными –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не более 5 контрагентов с соответствующими 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муниципальными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контрактами, соглашениями, договорами по каждой инвентаризационной описи;</w:t>
      </w:r>
    </w:p>
    <w:p w14:paraId="4D244325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рассмотрения (анализа) характеристик (долгосрочная, просроченная) дебиторской задолженности, определения причин образования просроченной дебиторской задолженности;</w:t>
      </w:r>
    </w:p>
    <w:p w14:paraId="0330AE0C" w14:textId="1DB6FEB6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в) выявления на основе сведений из Единого государственного реестра юридических лиц ликвидированных юридических лиц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части задолженности по платежам в бюджет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округа Красногорск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не погашенной по причине недостаточности имущества организации и (или) невозможности ее погашения учредителями (участниками) указанных организаций в пределах и порядке, которые установлены законодательством Российской Федерации;</w:t>
      </w:r>
    </w:p>
    <w:p w14:paraId="7D91C066" w14:textId="2191F625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г) анализа принимаемых субъектами бюджетных процедур мер по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обеспечению взыскания задолженности по платежам в бюджет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округа Красногорск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B8EF22E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д) выявления случаев истечения сроков исковой давности на основании условий государственных контрактов, соглашений, договоров, наличия актов сверки задолженности, фактов предъявления требований об исполнении обязательства, иных документов.</w:t>
      </w:r>
    </w:p>
    <w:p w14:paraId="15EDB97D" w14:textId="779CAFA5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13.2. Наличия признаков обесценения нематериальных активов, в том числе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путем:</w:t>
      </w:r>
    </w:p>
    <w:p w14:paraId="5BF19DAA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формирования аудиторской выборки из состава инвентаризационных описей, сформированных при проведении инвентаризации в целях составления годовой бюджетной отчетности по состоянию на 1 января отчетного финансового года, не более чем по 5 ответственным лицам в объеме не более 5 объектов бюджетного учета по каждому ответственному лицу;</w:t>
      </w:r>
    </w:p>
    <w:p w14:paraId="5F3A77DF" w14:textId="190B36E2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выявления морального устаревания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объекта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нематериальных активов,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снижающего его полезный потенциал.</w:t>
      </w:r>
    </w:p>
    <w:p w14:paraId="61157C2D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13.3. Обоснованности причин отражения вложений в нефинансовые активы на соответствующем счете бюджетного учета путем:</w:t>
      </w:r>
    </w:p>
    <w:p w14:paraId="1049C635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формирования аудиторской выборки на основе инвентаризационных описей, сформированных при проведении инвентаризации в целях составления годовой бюджетной отчетности по состоянию на 1 января отчетного финансового года, в объеме не более 5 объектов бюджетного учета с наибольшей балансовой стоимостью;</w:t>
      </w:r>
    </w:p>
    <w:p w14:paraId="79459C64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анализа действий, принятых субъектами бюджетных процедур за истекший период отчетного финансового года с целью формирования нефинансовых активов.</w:t>
      </w:r>
    </w:p>
    <w:p w14:paraId="7E8DB0EB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13.4. Актуальности прав пользования активами путем:</w:t>
      </w:r>
    </w:p>
    <w:p w14:paraId="1CC92CAC" w14:textId="232D252D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формирования аудиторской выборки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более чем по 5 ответственным лицам в объеме не более 2 объектов бюджетного учета по каждому ответственному лицу;</w:t>
      </w:r>
    </w:p>
    <w:p w14:paraId="6CC37B5A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определения фактов использования (наличия пользователей) по объектам активов.</w:t>
      </w:r>
    </w:p>
    <w:p w14:paraId="226026BB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13.5. По расчетам по платежам в бюджеты путем:</w:t>
      </w:r>
    </w:p>
    <w:p w14:paraId="5DBA914C" w14:textId="64047075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формирования аудиторской выборки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более чем по 3 группам аналитического счета бюджетного учета;</w:t>
      </w:r>
    </w:p>
    <w:p w14:paraId="596507BE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выявления задолженности, имеющейся по состоянию на начало отчетного финансового года и не погашенной (взысканной) в истекшем отчетном периоде отчетного финансового года, а также причин ее образования.</w:t>
      </w:r>
    </w:p>
    <w:p w14:paraId="13E6FCE3" w14:textId="72DE1CDB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13.6. Полноты формирования, соответствия требованиям единой методологии бюджетного учета и составления, утверждения и представления бюджетной отчетности, устанавливаемой Министерством финансов Российской Федерации,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полноты и своевременности передачи в соответствии с Графиком первичных учетных документов, отражающих факты хозяйственной жизни:</w:t>
      </w:r>
    </w:p>
    <w:p w14:paraId="1F80436B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по объектам нефинансовых активов путем:</w:t>
      </w:r>
    </w:p>
    <w:p w14:paraId="16A72721" w14:textId="580D065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формирования аудиторской выборки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объеме не более 5 документов одного типа (писем, служебных записок, приказов) 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более 5 объектов бюджетного учета по одному документу;</w:t>
      </w:r>
    </w:p>
    <w:p w14:paraId="5D4FA5E3" w14:textId="790C1602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по расчетам по кредитам, займам (ссудам), по расчетам с кредиторами по долговым обязательствам путем:</w:t>
      </w:r>
    </w:p>
    <w:p w14:paraId="539BD9DE" w14:textId="4736B329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формирования аудиторской выборки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информации, представленной в инвентаризационных описях, сформированных при проведении инвентаризации в целях составления годовой бюджетной отчетности по состоянию на 1 января отчетного финансового года,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 более чем по 3 контрагентам по одной группе аналитического счета бюджетного учета;</w:t>
      </w:r>
    </w:p>
    <w:p w14:paraId="713139B2" w14:textId="554BF5C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13.7. Субъект внутреннего финансового аудита при проведении выборочного анализа в соответствии с настоящим пунктом имеет право определить иные показатели, объемы аудиторской выборки и предмет анализа.</w:t>
      </w:r>
    </w:p>
    <w:p w14:paraId="087F64B8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 xml:space="preserve">13.8. В случае если количество первичных учетных документов по одному из направлений аудиторской выборки (объекты бюджетного учета, ответственные лица) составляет менее определенного в пунктах 13.1 – 13.6 настоящей Методики объема аудиторской выборки, объем аудиторской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выборки по данному направлению равен фактическому количеству первичных учетных документов.</w:t>
      </w:r>
    </w:p>
    <w:p w14:paraId="1A478E7C" w14:textId="3A160E6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14. При выявлении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 проведении выборочного анализа, предусмотренного пунктом 13 настоящей Методики, признаков, указывающих на возможность наступления риска искажения бюджетной отчетности, связанного с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недостижением целей проведения инвентаризации активов и обязательств,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используется метод внутреннего финансового аудита «наблюдение»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части проведения инвентаризационными комиссиями сверки фактического наличия (соответствия критериям активов)соответствующих объектов бюджетного учета или сверки по расчетам, обязательствам (при проведении инвентаризации в целях составления годовой бюджетной отчетности за отчетный финансовый год в процессе подтверждения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инвентаризационной комиссией фактического наличия объектов нефинансовых активов или проведения инвентаризационными комиссиям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сверки по расчетам и обязательствам).</w:t>
      </w:r>
    </w:p>
    <w:p w14:paraId="4631E1E5" w14:textId="13E709B3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15. Риск искажения бюджетной отчетности, связанный с несоблюдением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установленных требований к проведению инвентаризации активов и обязательств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оценивается в соответствии с федеральными стандартами внутреннего финансового аудита на основании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выборочного анализа порядка проведения инвентаризации</w:t>
      </w:r>
      <w:r w:rsidR="00C90F7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объектов бюджетного учета, установленного субъектом бюджетного учета, а также документов, составленных по результатам инвентаризации активов и обязательств, проведенной перед составлением годовой бюджетной отчетности(по мере формирования и утверждения соответствующих документов).</w:t>
      </w:r>
    </w:p>
    <w:p w14:paraId="02B3E689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 проведении выборочного анализа, указанного в абзаце первом настоящего пункта, оцениваются:</w:t>
      </w:r>
    </w:p>
    <w:p w14:paraId="4A9FCF2A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соответствие порядка проведения инвентаризации объектов бюджетного учета установленным требованиям положений правовых актов Министерства финансов Российской Федерации, Казначейства России.</w:t>
      </w:r>
    </w:p>
    <w:p w14:paraId="6FDB5D57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 проведении анализа, указанного в настоящем подпункте, определяется в том числе полнота проведения инвентаризации активов и обязательств, подлежащих инвентаризации в целях составления годовой бюджетной отчетности;</w:t>
      </w:r>
    </w:p>
    <w:p w14:paraId="4D98D6B4" w14:textId="233229E3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достаточность состава инвентаризационных комиссий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для принятия решений по результатам инвентаризации.</w:t>
      </w:r>
    </w:p>
    <w:p w14:paraId="7B719A38" w14:textId="2FD76EBC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Определяется исходя из перечня должностей и наименований субъектов бюджетных процедур, включенных в состав инвентаризационных комиссий,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основании приказов о создании инвентаризационных комиссий, иных документов, утверждающих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состав указанных комиссий.</w:t>
      </w:r>
    </w:p>
    <w:p w14:paraId="50364696" w14:textId="551F23EF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 наличии признаков, указывающих на недостаточность профессиональных знаний, навыков и умений для принятия надежных решений в отношении соответствующих объектов бюджетного учета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 совокупности членов инвентаризационных комиссий (исходя из занимаемых должностей, привлекаемых в состав инвентаризационной комиссии субъектов бюджетных процедур), используется метод внутреннего финансового аудита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наблюдение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 проведением инвентаризационными комиссиями сверки фактического наличия (соответствия критериям активов) соответствующих объектов бюджетного учета или сверки по расчетам, обязательствам в период проведения инвентаризации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соответствия объекта бюджетного учета критериям признания актива;</w:t>
      </w:r>
    </w:p>
    <w:p w14:paraId="4D3EC63A" w14:textId="26B260EA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в) соблюдение порядка формирования инвентаризационных описей (сличительных ведомостей), ведомостей расхождений по результатам инвентаризации (при наличии выявленных расхождений по результатам инвентаризации), актов о результатах инвентаризации, иных документов, необходимых для проведения инвентаризации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требованиями, установленными Графиком и документами учетной политики субъекта бюджетного учета (далее – виды документов по результатам инвентаризации).</w:t>
      </w:r>
    </w:p>
    <w:p w14:paraId="7C4781D3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Объем аудиторской выборки при проведении указанного анализа составляет:</w:t>
      </w:r>
    </w:p>
    <w:p w14:paraId="5E4C64ED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 наличии менее десяти единиц документов по одному виду документов по результатам инвентаризации – 100% от объема соответствующих документов;</w:t>
      </w:r>
    </w:p>
    <w:p w14:paraId="33C8B9E1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при наличии более десяти единиц документов по одному виду документов по результатам инвентаризации– 20%от объема соответствующих документов, но не менее 10 документов;</w:t>
      </w:r>
    </w:p>
    <w:p w14:paraId="368FC827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г) полнота и правильность заполнения инвентаризационных описей (сличительных ведомостей), ведомостей расхождений по результатам инвентаризации (при наличии выявленных расхождений по результатам инвентаризации), актов о результатах инвентаризации.</w:t>
      </w:r>
    </w:p>
    <w:p w14:paraId="44FE4AB9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Объем аудиторской выборки при проведении указанного анализа составляет:</w:t>
      </w:r>
    </w:p>
    <w:p w14:paraId="6A856AC7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 инвентаризационным описям (сличительным ведомостям) по объектам нефинансовых активов «Нематериальные активы», «Вложения в нефинансовые активы», «Права пользования активами», по инвентаризационным описям задолженности по кредитам, займам (ссудам), а также по инвентаризационным описям расчетов с покупателями, поставщиками и прочими дебиторами и кредиторами – не более 5 инвентаризационных описей по одной форме первичного учетного документа по одному структурному подразделению (ответственным лицам одного структурного подразделения) по одному аналитическому коду счета бюджетного учета;</w:t>
      </w:r>
    </w:p>
    <w:p w14:paraId="1B5E50C0" w14:textId="243CC9BA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 иным инвентаризационным описям (сличительным ведомостям) – не менее 1 инвентаризационной описи (сличительной ведомости) по одной форме первичного учетного документа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одному субъекту бюджетных процедур (ответственным лицам одного структурного подразделения);</w:t>
      </w:r>
    </w:p>
    <w:p w14:paraId="0C4CA447" w14:textId="4B139A72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д) правильность и обоснованность числящейся задолженности по недостачам и хищениям, а также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достаточность раскрытия причин наличия излишков и недостач, выявленных по результатам инвентаризации путем проведения анализа причин возникновения излишков и недостач, принятых мер по установлению виновного лица и взысканию с виновного лица в случаях выявления недостач и хищений.</w:t>
      </w:r>
    </w:p>
    <w:p w14:paraId="7346F90D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Объем аудиторской выборки при проведении указанного анализа составляет 100% от случаев выявления недостач, излишков и хищений, но не более 10 объектов бюджетного учета, по которым выявлены недостачи, излишки или хищения.</w:t>
      </w:r>
    </w:p>
    <w:p w14:paraId="04CD6FF2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е) обоснованность дебиторской (кредиторской) задолженности, не подтвержденной по результатам инвентаризации дебитором (не согласованной с кредитором), определяется в части достаточности принятых субъектом бюджетных процедур мер по обеспечению подтверждения задолженности дебиторами (согласования задолженности с кредиторами), наличия документов (информации) об отказе (обоснованности причин отказа) дебитора (кредитора) о подтверждении (согласовании) задолженности, установления порядком проведения инвентаризации особенностей подтверждения (согласования) задолженности дебиторами (кредиторами) в случаях невозможности ее подтверждения (согласования);</w:t>
      </w:r>
    </w:p>
    <w:p w14:paraId="584C5315" w14:textId="4A18D1E4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Объем аудиторской выборки при проведении указанного анализа составляет 50%объема первичных учетных документов, содержащих информацию о не подтверждении (не согласовании) задолженности с дебиторами (кредиторами), по одной форме первичного учетного документа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 одному субъекту бюджетных процедур (ответственным лицам одного структурного подразделения);</w:t>
      </w:r>
    </w:p>
    <w:p w14:paraId="031C2101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ж) соответствие объемов обязательств, отраженных в инвентаризационных описях (сличительных ведомостях), данным документов, подтверждающих (согласовывающих) соответствующие объемы обязательств, на основании которых проведена инвентаризация.</w:t>
      </w:r>
    </w:p>
    <w:p w14:paraId="692AC4B4" w14:textId="67C69A52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Аудиторская выборка при проведении указанного анализа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формируется по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инвентаризационным описям (сличительным ведомостям) из состава инвентаризационных описей (сличительных ведомостей), отобранных в соответствии с подпунктом «г» настоящего пункта, в которых отражена информация о подтверждении (согласовании) задолженности дебиторами (кредиторами), в объеме не более 5 контрагентов по инвентаризационной описи (сличительной ведомости);</w:t>
      </w:r>
    </w:p>
    <w:p w14:paraId="28C92714" w14:textId="626CF7EE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з) полнота и своевременность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передачи первичных учетных документов о поступлении и выбытии нефинансовых активов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период проведения инвентаризации,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исходя из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анализа корректности наличия (отсутствия) в инвентаризационных описях указанных объектов бюджетного учета.</w:t>
      </w:r>
    </w:p>
    <w:p w14:paraId="47ECF425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Объем аудиторской выборки при проведении указанного анализа составляет 10% от материальных запасов, поступивших (выбывших) в период проведения инвентаризации материальных запасов, но не более 20 объектов бюджетного учета;</w:t>
      </w:r>
    </w:p>
    <w:p w14:paraId="685F0D06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и) анализ полноты и корректности отражения в инвентаризационных описях (сличительных ведомостях) фактов хозяйственной жизни, выявленных в рамках проведения выборочного анализа, предусмотренного пунктом 13.7 настоящей Методики.</w:t>
      </w:r>
    </w:p>
    <w:p w14:paraId="21839A5D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Субъект внутреннего финансового аудита при проведении выборочного анализа в соответствии с настоящим пунктом имеет право определить иные показатели, объемы аудиторской выборки и предмет анализа.</w:t>
      </w:r>
    </w:p>
    <w:p w14:paraId="50C5ACF0" w14:textId="77777777" w:rsidR="005A4556" w:rsidRPr="005A4556" w:rsidRDefault="005A4556" w:rsidP="005A4556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IV. Оценка достоверности и соблюдения требований полноты, нейтральности и отсутствия существенных ошибок в Пояснительной записке</w:t>
      </w:r>
    </w:p>
    <w:p w14:paraId="4A885425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16. Оценка достоверности и соблюдения требований полноты, нейтральности и отсутствия существенных ошибок в Пояснительной записке осуществляется путем оценки:</w:t>
      </w:r>
    </w:p>
    <w:p w14:paraId="6B10EAED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полноты данных Таблиц (Приложений) из состава Пояснительной записки к бюджетной отчетности (далее – Сведения);</w:t>
      </w:r>
    </w:p>
    <w:p w14:paraId="03117DFD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полноты, нейтральности и отсутствия существенных ошибок при формировании данных текстовой части Пояснительной записки.</w:t>
      </w:r>
    </w:p>
    <w:p w14:paraId="511AF800" w14:textId="5C4379B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17. Результаты проведенного выборочного анализа в отношении риска искажения бюджетной отчетности, связанного с несоблюдением полноты Сведений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 полноты, нейтральности и отсутствия существенных ошибок при формировании данных текстовой части Пояснительной записки отражаются в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Итоговом заключении.</w:t>
      </w:r>
    </w:p>
    <w:p w14:paraId="12A8EE79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18. Выборочный анализ, определенный в пункте 17 настоящей Методики, осуществляется на предмет полноты, нейтральности и отсутствия существенных ошибок при формировании информации, представляемой субъектами бюджетных процедур в соответствии с Графиком в целях составления Сведений.</w:t>
      </w:r>
    </w:p>
    <w:p w14:paraId="75D15399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19. Аудиторская выборка в целях проведения выборочного анализа, указанного в пункте 17 настоящей Методики, формируется в отношении Сведений, отражающих факты хозяйственной жизни по показателям бюджетной отчетности, по которым:</w:t>
      </w:r>
    </w:p>
    <w:p w14:paraId="42A5D02F" w14:textId="5282EC8A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отражена информация о принятых бюджетных обязательствах сверх утвержденных бюджетных назначений;</w:t>
      </w:r>
    </w:p>
    <w:p w14:paraId="6E3072D0" w14:textId="42C29E60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отклонение фактического исполнения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бюджетных назначений от плановых (прогнозных)значений бюджетных назначений составляет менее 15%, но более 5% - не более 10 показателей бюджетной отчетности по доходам, расходам и источникам финансирования дефицита бюджета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округа Красногорск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53B18A4D" w14:textId="0EDD969A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 отклонение фактического исполнения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бюджетных назначений от плановых (прогнозных)значений бюджетных назначений составляет более 15% - не более 10 показателей бюджетной отчетности по доходам, расходам и источникам финансирования дефицита </w:t>
      </w:r>
      <w:r w:rsidR="003C25B1"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бюджета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городского округа Красногорск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14:paraId="5D1385CF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br/>
        <w:t>Субъект внутреннего финансового аудита при проведении выборочного анализа имеет право определить иные показатели и объем выборки.</w:t>
      </w:r>
    </w:p>
    <w:p w14:paraId="51014E3C" w14:textId="370A0BBF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20. По результатам проведения выборочного анализа, указанного в пункте 17 настоящей Методики, оценивается риск искажения бюджетной отчетности, связанный с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несоблюдением полноты и нейтральности Сведений,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соответствии с федеральными стандартами внутреннего финансового аудита, в том числе путем оценки вероятности допущения ошибки на основе сверки Сведений с данными регистров бюджетного учета</w:t>
      </w:r>
      <w:r w:rsidR="0056060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 случае представления Сведений субъектами бюджетных процедур.</w:t>
      </w:r>
    </w:p>
    <w:p w14:paraId="3A232D30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21. Под нейтральностью данных текстовой части Пояснительной записки понимаются данные, отбор для представления в бюджетной отчетности которых осуществлялся объективно.</w:t>
      </w:r>
    </w:p>
    <w:p w14:paraId="728958A9" w14:textId="6051D6C0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23. В целях проведения выборочного анализа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полноты, нейтральности и отсутствия существенных ошибок при формировании данных текстовой части Пояснительной записки:</w:t>
      </w:r>
    </w:p>
    <w:p w14:paraId="1A1B3D83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а) формируется аудиторская выборка положений, в отношении которых будет проводиться выборочный анализ, исходя из анализа:</w:t>
      </w:r>
    </w:p>
    <w:p w14:paraId="221396A5" w14:textId="7420C16C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информации, необходимой к предоставлению субъектами бюджетных процедур, в целях составления бюджетной отчетности</w:t>
      </w:r>
      <w:r w:rsidR="003C25B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;</w:t>
      </w:r>
    </w:p>
    <w:p w14:paraId="6486F96D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данных (показателей, информации), оказавших существенное влияние и характеризующих показатели бюджетной отчетности за отчетный период, не нашедших отражения в таблицах и приложениях к бюджетной отчетности, текстовое описание которых обусловлено положениями;</w:t>
      </w:r>
    </w:p>
    <w:p w14:paraId="291BC15C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б) проводится анализ нормативных правовых актов, устанавливающих единую методологию бюджетного учета и составления, представления и утверждения бюджетной отчетности, на предмет идентификации положений, определяющих необходимость текстового описания информации, оказавшей существенное влияние и характеризующей показатели бюджетной отчетности за отчетный период, не нашедшей отражения в таблицах и приложениях к бюджетной отчетности (далее – положения).</w:t>
      </w:r>
    </w:p>
    <w:p w14:paraId="28D5BC71" w14:textId="12B72731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24. По фактам несоблюдения положений на предмет полноты отражения данных в текстовой части Пояснительной записки проводится оценка полноты,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нейтральности и отсутствия существенных ошибок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при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формировании данных путем формирования суждения субъекта внутреннего финансового аудита.</w:t>
      </w:r>
    </w:p>
    <w:p w14:paraId="2AAB029C" w14:textId="0343D86D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25. По результатам проведения выборочного анализа, указанного в пункте 23 настоящей Методики, оценивается риск искажения бюджетной отчетности, связанный с несоблюдением</w:t>
      </w:r>
      <w:r w:rsidR="00CE2022" w:rsidRPr="0056060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полноты и нейтральности данных текстовой части Пояснительной записки.</w:t>
      </w:r>
    </w:p>
    <w:p w14:paraId="7D8FE00D" w14:textId="77777777" w:rsidR="005A4556" w:rsidRPr="005A4556" w:rsidRDefault="005A4556" w:rsidP="005A4556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VI. Заключительные положения</w:t>
      </w:r>
    </w:p>
    <w:p w14:paraId="13935A92" w14:textId="28B6AE27" w:rsidR="005A4556" w:rsidRPr="005A4556" w:rsidRDefault="005A4556" w:rsidP="005A4556">
      <w:pPr>
        <w:shd w:val="clear" w:color="auto" w:fill="FFFFFF"/>
        <w:spacing w:before="0" w:beforeAutospacing="0" w:after="150" w:afterAutospacing="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26. При формировании суждения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о наличии признаков и (или) фактов, влияющих на достоверность данных бюджетной отчетности, учитывается информация о принятии субъектами</w:t>
      </w:r>
      <w:r w:rsidR="00CE2022" w:rsidRPr="00560602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 xml:space="preserve"> </w:t>
      </w:r>
      <w:r w:rsidRPr="005A4556">
        <w:rPr>
          <w:rFonts w:ascii="Times New Roman" w:eastAsia="Times New Roman" w:hAnsi="Times New Roman" w:cs="Times New Roman"/>
          <w:color w:val="222222"/>
          <w:sz w:val="28"/>
          <w:szCs w:val="28"/>
          <w:lang w:val="ru-RU" w:eastAsia="ru-RU"/>
        </w:rPr>
        <w:t>бюджетных процедур мер по минимизации (устранению) бюджетных рисков, по устранению недостатков (нарушений) и по организации внутреннего финансового контроля (рекомендуемых к осуществлению контрольных действий).</w:t>
      </w:r>
    </w:p>
    <w:p w14:paraId="170652A8" w14:textId="77777777" w:rsidR="005A4556" w:rsidRPr="005A4556" w:rsidRDefault="005A4556" w:rsidP="005A4556">
      <w:pPr>
        <w:spacing w:before="0" w:beforeAutospacing="0" w:after="0" w:afterAutospacing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5A455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  <w:t>27. В целях подтверждения информация о принятии субъектами бюджетных процедур мер по минимизации (устранению) бюджетных рисков, по устранению недостатков (нарушений) и по организации внутреннего финансового контроля (рекомендуемых к осуществлению контрольных действий) аудиторской группой при формировании Итогового заключения может проводиться анализ показателей (информации), не попавших в аудиторскую выборку, аналогичных показателям (информации), в отношении которых были допущены недостатки (нарушения).</w:t>
      </w:r>
    </w:p>
    <w:p w14:paraId="0ECDA029" w14:textId="77777777" w:rsidR="003C5512" w:rsidRPr="00560602" w:rsidRDefault="003C5512" w:rsidP="005A455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C5512" w:rsidRPr="0056060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63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14776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E09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723A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E088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982E73"/>
    <w:multiLevelType w:val="multilevel"/>
    <w:tmpl w:val="6492D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1479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65B649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D859D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1D401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7906D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447A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CED40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F974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D010D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6556125">
    <w:abstractNumId w:val="10"/>
  </w:num>
  <w:num w:numId="2" w16cid:durableId="908491818">
    <w:abstractNumId w:val="3"/>
  </w:num>
  <w:num w:numId="3" w16cid:durableId="986857533">
    <w:abstractNumId w:val="12"/>
  </w:num>
  <w:num w:numId="4" w16cid:durableId="1215046760">
    <w:abstractNumId w:val="2"/>
  </w:num>
  <w:num w:numId="5" w16cid:durableId="542909507">
    <w:abstractNumId w:val="4"/>
  </w:num>
  <w:num w:numId="6" w16cid:durableId="332489773">
    <w:abstractNumId w:val="6"/>
  </w:num>
  <w:num w:numId="7" w16cid:durableId="269287653">
    <w:abstractNumId w:val="11"/>
  </w:num>
  <w:num w:numId="8" w16cid:durableId="555431720">
    <w:abstractNumId w:val="7"/>
  </w:num>
  <w:num w:numId="9" w16cid:durableId="409430572">
    <w:abstractNumId w:val="9"/>
  </w:num>
  <w:num w:numId="10" w16cid:durableId="641038709">
    <w:abstractNumId w:val="1"/>
  </w:num>
  <w:num w:numId="11" w16cid:durableId="567152525">
    <w:abstractNumId w:val="14"/>
  </w:num>
  <w:num w:numId="12" w16cid:durableId="1613054656">
    <w:abstractNumId w:val="0"/>
  </w:num>
  <w:num w:numId="13" w16cid:durableId="1869949164">
    <w:abstractNumId w:val="13"/>
  </w:num>
  <w:num w:numId="14" w16cid:durableId="1217549798">
    <w:abstractNumId w:val="8"/>
  </w:num>
  <w:num w:numId="15" w16cid:durableId="88113829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06CC9"/>
    <w:rsid w:val="00045359"/>
    <w:rsid w:val="0009006B"/>
    <w:rsid w:val="00092C44"/>
    <w:rsid w:val="001E094B"/>
    <w:rsid w:val="00216D9B"/>
    <w:rsid w:val="002D33B1"/>
    <w:rsid w:val="002D3591"/>
    <w:rsid w:val="003514A0"/>
    <w:rsid w:val="0036334B"/>
    <w:rsid w:val="0037079E"/>
    <w:rsid w:val="003C25B1"/>
    <w:rsid w:val="003C5512"/>
    <w:rsid w:val="003E153E"/>
    <w:rsid w:val="004F7E17"/>
    <w:rsid w:val="00560602"/>
    <w:rsid w:val="0059018B"/>
    <w:rsid w:val="005A05CE"/>
    <w:rsid w:val="005A4556"/>
    <w:rsid w:val="00653AF6"/>
    <w:rsid w:val="00756FC2"/>
    <w:rsid w:val="00945C60"/>
    <w:rsid w:val="00AA04B1"/>
    <w:rsid w:val="00B67F37"/>
    <w:rsid w:val="00B73A5A"/>
    <w:rsid w:val="00C45A9C"/>
    <w:rsid w:val="00C90F74"/>
    <w:rsid w:val="00CE2022"/>
    <w:rsid w:val="00D22C87"/>
    <w:rsid w:val="00E438A1"/>
    <w:rsid w:val="00F01E19"/>
    <w:rsid w:val="00F6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1A6DD"/>
  <w15:docId w15:val="{DA195073-9697-4664-810D-C1B33454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045359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08349">
              <w:marLeft w:val="0"/>
              <w:marRight w:val="15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9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9220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74B81-AA5D-4014-8023-974FE935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38</Pages>
  <Words>10803</Words>
  <Characters>61579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Светлана Николаевна Филаткина</cp:lastModifiedBy>
  <cp:revision>4</cp:revision>
  <cp:lastPrinted>2023-12-22T16:56:00Z</cp:lastPrinted>
  <dcterms:created xsi:type="dcterms:W3CDTF">2011-11-02T04:15:00Z</dcterms:created>
  <dcterms:modified xsi:type="dcterms:W3CDTF">2023-12-22T17:04:00Z</dcterms:modified>
</cp:coreProperties>
</file>