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постановление№</w:t>
      </w:r>
      <w:r w:rsidR="00E25E1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CC752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E25E1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</w:t>
      </w:r>
      <w:r w:rsidR="00C022B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0" w:name="Par288"/>
            <w:bookmarkEnd w:id="0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251878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230507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251878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60953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</w:tr>
      <w:tr w:rsidR="00DE0874" w:rsidRPr="000135BA" w:rsidTr="00F91290">
        <w:trPr>
          <w:trHeight w:val="705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  <w:p w:rsidR="00F91290" w:rsidRDefault="00F91290" w:rsidP="00DE0874">
            <w:pPr>
              <w:pStyle w:val="ConsPlusCell"/>
              <w:rPr>
                <w:sz w:val="24"/>
                <w:szCs w:val="24"/>
              </w:rPr>
            </w:pPr>
          </w:p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F91290">
        <w:trPr>
          <w:trHeight w:val="384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251878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252034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251878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1A43DE" w:rsidRDefault="005825C6" w:rsidP="005825C6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194,58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197,03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</w:rPr>
              <w:t>199,39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204,82</w:t>
            </w:r>
          </w:p>
        </w:tc>
        <w:tc>
          <w:tcPr>
            <w:tcW w:w="1559" w:type="dxa"/>
            <w:vAlign w:val="center"/>
          </w:tcPr>
          <w:p w:rsidR="005825C6" w:rsidRPr="00015C75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36"/>
      <w:bookmarkStart w:id="2" w:name="OLE_LINK37"/>
      <w:bookmarkStart w:id="3" w:name="OLE_LINK62"/>
      <w:bookmarkStart w:id="4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296"/>
        <w:gridCol w:w="12474"/>
      </w:tblGrid>
      <w:tr w:rsidR="005C603D" w:rsidRPr="00BA4206" w:rsidTr="00B27CB7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B27CB7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247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B27CB7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отчетного  периода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991430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B27CB7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5" w:name="OLE_LINK14"/>
          <w:bookmarkStart w:id="6" w:name="OLE_LINK15"/>
          <w:p w:rsidR="005825C6" w:rsidRPr="005825C6" w:rsidRDefault="00991430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991430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>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991430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991430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991430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991430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5"/>
            <w:bookmarkEnd w:id="6"/>
          </w:p>
        </w:tc>
      </w:tr>
      <w:tr w:rsidR="005C603D" w:rsidRPr="00BA4206" w:rsidTr="00B27CB7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296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47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bookmarkEnd w:id="3"/>
    <w:bookmarkEnd w:id="4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991430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991430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>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991430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991430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991430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991430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2016 году было обеспечено 100% исполнение мероприятий </w:t>
      </w:r>
      <w:proofErr w:type="gramStart"/>
      <w:r w:rsidRPr="00A52CC0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7" w:name="P187"/>
      <w:bookmarkEnd w:id="7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7"/>
        <w:gridCol w:w="1700"/>
        <w:gridCol w:w="991"/>
        <w:gridCol w:w="1133"/>
        <w:gridCol w:w="849"/>
        <w:gridCol w:w="850"/>
        <w:gridCol w:w="849"/>
        <w:gridCol w:w="850"/>
        <w:gridCol w:w="849"/>
        <w:gridCol w:w="992"/>
        <w:gridCol w:w="1561"/>
        <w:gridCol w:w="10"/>
      </w:tblGrid>
      <w:tr w:rsidR="00B431F4" w:rsidRPr="00D45849" w:rsidTr="007A2A6F">
        <w:trPr>
          <w:gridAfter w:val="1"/>
          <w:wAfter w:w="10" w:type="dxa"/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7A2A6F">
        <w:trPr>
          <w:gridAfter w:val="1"/>
          <w:wAfter w:w="10" w:type="dxa"/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7A2A6F">
        <w:trPr>
          <w:gridAfter w:val="1"/>
          <w:wAfter w:w="10" w:type="dxa"/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7A2A6F">
        <w:trPr>
          <w:gridAfter w:val="1"/>
          <w:wAfter w:w="10" w:type="dxa"/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8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60A9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243407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60253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60A9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225807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60A9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A98">
              <w:rPr>
                <w:rFonts w:ascii="Times New Roman" w:hAnsi="Times New Roman"/>
                <w:sz w:val="22"/>
                <w:szCs w:val="22"/>
              </w:rPr>
              <w:t>243407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878">
              <w:rPr>
                <w:rFonts w:ascii="Times New Roman" w:hAnsi="Times New Roman"/>
                <w:sz w:val="22"/>
                <w:szCs w:val="22"/>
              </w:rPr>
              <w:t>60253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60A9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A98">
              <w:rPr>
                <w:rFonts w:ascii="Times New Roman" w:hAnsi="Times New Roman"/>
                <w:sz w:val="22"/>
                <w:szCs w:val="22"/>
              </w:rPr>
              <w:t>225807</w:t>
            </w:r>
            <w:bookmarkStart w:id="9" w:name="_GoBack"/>
            <w:bookmarkEnd w:id="9"/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878">
              <w:rPr>
                <w:rFonts w:ascii="Times New Roman" w:hAnsi="Times New Roman"/>
                <w:sz w:val="22"/>
                <w:szCs w:val="22"/>
              </w:rPr>
              <w:t>60053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63438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14436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</w:t>
            </w: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3300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866">
              <w:rPr>
                <w:rFonts w:ascii="Times New Roman" w:hAnsi="Times New Roman"/>
                <w:sz w:val="22"/>
                <w:szCs w:val="22"/>
              </w:rPr>
              <w:t>63438</w:t>
            </w:r>
            <w:r w:rsidRPr="00DB0866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866">
              <w:rPr>
                <w:rFonts w:ascii="Times New Roman" w:hAnsi="Times New Roman"/>
                <w:sz w:val="22"/>
                <w:szCs w:val="22"/>
              </w:rPr>
              <w:t>14436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109532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20417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109532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20417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7A2A6F">
        <w:trPr>
          <w:gridAfter w:val="1"/>
          <w:wAfter w:w="10" w:type="dxa"/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92396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B9A" w:rsidRPr="00D45849" w:rsidTr="007A2A6F">
        <w:trPr>
          <w:gridAfter w:val="1"/>
          <w:wAfter w:w="10" w:type="dxa"/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7A2A6F">
        <w:trPr>
          <w:gridAfter w:val="1"/>
          <w:wAfter w:w="10" w:type="dxa"/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1.1.3.5.     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общественностью и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износа конструкций и инженерного оборудования</w:t>
            </w:r>
          </w:p>
        </w:tc>
      </w:tr>
      <w:tr w:rsidR="00440B9A" w:rsidRPr="00D45849" w:rsidTr="007A2A6F">
        <w:trPr>
          <w:gridAfter w:val="1"/>
          <w:wAfter w:w="10" w:type="dxa"/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  <w:r w:rsidR="00440B9A" w:rsidRPr="00460A9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460A9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7A2A6F">
        <w:trPr>
          <w:gridAfter w:val="1"/>
          <w:wAfter w:w="10" w:type="dxa"/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="00440B9A"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="00440B9A"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7A2A6F">
        <w:trPr>
          <w:gridAfter w:val="1"/>
          <w:wAfter w:w="10" w:type="dxa"/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40B9A" w:rsidRPr="00D45849" w:rsidTr="007A2A6F">
        <w:trPr>
          <w:gridAfter w:val="1"/>
          <w:wAfter w:w="10" w:type="dxa"/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43314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6926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7A2A6F">
        <w:trPr>
          <w:gridAfter w:val="1"/>
          <w:wAfter w:w="10" w:type="dxa"/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</w:t>
            </w:r>
            <w:r w:rsidR="00DB0866">
              <w:rPr>
                <w:rFonts w:ascii="Times New Roman" w:hAnsi="Times New Roman"/>
                <w:sz w:val="22"/>
                <w:szCs w:val="22"/>
              </w:rPr>
              <w:t>714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Pr="001939D6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C7525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CC7525" w:rsidRPr="004C22AB" w:rsidRDefault="00CC7525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1939D6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10" w:name="P987"/>
            <w:bookmarkEnd w:id="10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95664C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02C64" w:rsidRPr="00717D73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7A2A6F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2B1C02" w:rsidRDefault="00E716EF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4C22AB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1164"/>
        </w:trPr>
        <w:tc>
          <w:tcPr>
            <w:tcW w:w="851" w:type="dxa"/>
            <w:vMerge/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616"/>
        </w:trPr>
        <w:tc>
          <w:tcPr>
            <w:tcW w:w="851" w:type="dxa"/>
            <w:vMerge/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554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16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1939D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95664C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15123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E716EF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E716EF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585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63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E25E16">
        <w:trPr>
          <w:gridAfter w:val="1"/>
          <w:wAfter w:w="10" w:type="dxa"/>
          <w:trHeight w:val="36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990712" w:rsidTr="00E25E16">
        <w:trPr>
          <w:trHeight w:val="757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Pr="003E70BE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3B1387" w:rsidRDefault="00251878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252034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251878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63480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46539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25E16">
        <w:trPr>
          <w:trHeight w:val="1388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251878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230507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251878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60953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45939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25E16">
        <w:trPr>
          <w:trHeight w:val="111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F91290">
        <w:trPr>
          <w:trHeight w:val="114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5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818F7" w:rsidRPr="007A2A6F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"/>
        </w:rPr>
      </w:pPr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A6F" w:rsidRDefault="00194A6F" w:rsidP="00882DB1">
      <w:r>
        <w:separator/>
      </w:r>
    </w:p>
  </w:endnote>
  <w:endnote w:type="continuationSeparator" w:id="0">
    <w:p w:rsidR="00194A6F" w:rsidRDefault="00194A6F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30" w:rsidRDefault="009914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A6F" w:rsidRDefault="00194A6F" w:rsidP="00882DB1">
      <w:r>
        <w:separator/>
      </w:r>
    </w:p>
  </w:footnote>
  <w:footnote w:type="continuationSeparator" w:id="0">
    <w:p w:rsidR="00194A6F" w:rsidRDefault="00194A6F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2626B"/>
    <w:rsid w:val="000509B0"/>
    <w:rsid w:val="0006764B"/>
    <w:rsid w:val="00077356"/>
    <w:rsid w:val="0008484C"/>
    <w:rsid w:val="000978B3"/>
    <w:rsid w:val="000B0A1B"/>
    <w:rsid w:val="000C432C"/>
    <w:rsid w:val="00102C64"/>
    <w:rsid w:val="00117545"/>
    <w:rsid w:val="00184F3D"/>
    <w:rsid w:val="001939D6"/>
    <w:rsid w:val="00194A6F"/>
    <w:rsid w:val="001A43DE"/>
    <w:rsid w:val="001C0D41"/>
    <w:rsid w:val="001C2D97"/>
    <w:rsid w:val="001C373B"/>
    <w:rsid w:val="001C72EF"/>
    <w:rsid w:val="00226091"/>
    <w:rsid w:val="00251878"/>
    <w:rsid w:val="00251ABF"/>
    <w:rsid w:val="0026627E"/>
    <w:rsid w:val="0028554B"/>
    <w:rsid w:val="0029205F"/>
    <w:rsid w:val="00296FBB"/>
    <w:rsid w:val="002A508F"/>
    <w:rsid w:val="002B1C02"/>
    <w:rsid w:val="002C1E6F"/>
    <w:rsid w:val="002D3E8A"/>
    <w:rsid w:val="002F19E4"/>
    <w:rsid w:val="00317421"/>
    <w:rsid w:val="00327E31"/>
    <w:rsid w:val="0034195E"/>
    <w:rsid w:val="00343C47"/>
    <w:rsid w:val="00361BF6"/>
    <w:rsid w:val="003912DF"/>
    <w:rsid w:val="00397491"/>
    <w:rsid w:val="003A039D"/>
    <w:rsid w:val="003A0D0E"/>
    <w:rsid w:val="003B1387"/>
    <w:rsid w:val="003C0120"/>
    <w:rsid w:val="003E70BE"/>
    <w:rsid w:val="004327D4"/>
    <w:rsid w:val="00440B9A"/>
    <w:rsid w:val="00460A98"/>
    <w:rsid w:val="00462CA7"/>
    <w:rsid w:val="00463249"/>
    <w:rsid w:val="00466995"/>
    <w:rsid w:val="00485321"/>
    <w:rsid w:val="00493CAA"/>
    <w:rsid w:val="004A098B"/>
    <w:rsid w:val="004B372B"/>
    <w:rsid w:val="004D65AD"/>
    <w:rsid w:val="00556A5C"/>
    <w:rsid w:val="00557901"/>
    <w:rsid w:val="0056749D"/>
    <w:rsid w:val="005810D9"/>
    <w:rsid w:val="00581C7B"/>
    <w:rsid w:val="005825C6"/>
    <w:rsid w:val="00597112"/>
    <w:rsid w:val="005A160D"/>
    <w:rsid w:val="005C603D"/>
    <w:rsid w:val="005D7257"/>
    <w:rsid w:val="005E0154"/>
    <w:rsid w:val="005F14C1"/>
    <w:rsid w:val="006364A9"/>
    <w:rsid w:val="00662D1E"/>
    <w:rsid w:val="006721F5"/>
    <w:rsid w:val="00697CCB"/>
    <w:rsid w:val="006B0EE1"/>
    <w:rsid w:val="006E0CEA"/>
    <w:rsid w:val="00716CE3"/>
    <w:rsid w:val="00717D73"/>
    <w:rsid w:val="007468AE"/>
    <w:rsid w:val="00776F51"/>
    <w:rsid w:val="007A2A6F"/>
    <w:rsid w:val="007B59D9"/>
    <w:rsid w:val="007F2299"/>
    <w:rsid w:val="007F636C"/>
    <w:rsid w:val="00815EDD"/>
    <w:rsid w:val="00820950"/>
    <w:rsid w:val="00853677"/>
    <w:rsid w:val="008540C4"/>
    <w:rsid w:val="00882DB1"/>
    <w:rsid w:val="00897C3F"/>
    <w:rsid w:val="008A6DE6"/>
    <w:rsid w:val="008B7AF5"/>
    <w:rsid w:val="008D0BCA"/>
    <w:rsid w:val="008D5C41"/>
    <w:rsid w:val="00915123"/>
    <w:rsid w:val="00942A4C"/>
    <w:rsid w:val="00950B9C"/>
    <w:rsid w:val="00953CF1"/>
    <w:rsid w:val="0095664C"/>
    <w:rsid w:val="00960DE1"/>
    <w:rsid w:val="0096494E"/>
    <w:rsid w:val="00965465"/>
    <w:rsid w:val="00990712"/>
    <w:rsid w:val="00991430"/>
    <w:rsid w:val="009918C5"/>
    <w:rsid w:val="0099217A"/>
    <w:rsid w:val="00993415"/>
    <w:rsid w:val="009B56F0"/>
    <w:rsid w:val="009B756D"/>
    <w:rsid w:val="009E6CA6"/>
    <w:rsid w:val="00A362AF"/>
    <w:rsid w:val="00A52CC0"/>
    <w:rsid w:val="00A63FAC"/>
    <w:rsid w:val="00A94CC3"/>
    <w:rsid w:val="00AB2DEA"/>
    <w:rsid w:val="00AD3B2F"/>
    <w:rsid w:val="00AF026F"/>
    <w:rsid w:val="00B05A11"/>
    <w:rsid w:val="00B27CB7"/>
    <w:rsid w:val="00B431F4"/>
    <w:rsid w:val="00B43639"/>
    <w:rsid w:val="00B54E95"/>
    <w:rsid w:val="00B61F04"/>
    <w:rsid w:val="00B761AA"/>
    <w:rsid w:val="00BA7ECF"/>
    <w:rsid w:val="00BB0A65"/>
    <w:rsid w:val="00BB6380"/>
    <w:rsid w:val="00BC6739"/>
    <w:rsid w:val="00C022B9"/>
    <w:rsid w:val="00C41D63"/>
    <w:rsid w:val="00C6774C"/>
    <w:rsid w:val="00C8237E"/>
    <w:rsid w:val="00C922B4"/>
    <w:rsid w:val="00C96983"/>
    <w:rsid w:val="00CC3493"/>
    <w:rsid w:val="00CC7525"/>
    <w:rsid w:val="00CC7E22"/>
    <w:rsid w:val="00CF5611"/>
    <w:rsid w:val="00D219CD"/>
    <w:rsid w:val="00D6220F"/>
    <w:rsid w:val="00D818F7"/>
    <w:rsid w:val="00D92A5E"/>
    <w:rsid w:val="00DA7286"/>
    <w:rsid w:val="00DB0866"/>
    <w:rsid w:val="00DC0073"/>
    <w:rsid w:val="00DC116E"/>
    <w:rsid w:val="00DD5214"/>
    <w:rsid w:val="00DE0874"/>
    <w:rsid w:val="00DE428B"/>
    <w:rsid w:val="00E06F4C"/>
    <w:rsid w:val="00E25E16"/>
    <w:rsid w:val="00E26B8F"/>
    <w:rsid w:val="00E528ED"/>
    <w:rsid w:val="00E54FDF"/>
    <w:rsid w:val="00E716EF"/>
    <w:rsid w:val="00EA4E3D"/>
    <w:rsid w:val="00EB3E40"/>
    <w:rsid w:val="00ED63D4"/>
    <w:rsid w:val="00F22077"/>
    <w:rsid w:val="00F41063"/>
    <w:rsid w:val="00F47E00"/>
    <w:rsid w:val="00F54466"/>
    <w:rsid w:val="00F757EA"/>
    <w:rsid w:val="00F75D19"/>
    <w:rsid w:val="00F91290"/>
    <w:rsid w:val="00F957A6"/>
    <w:rsid w:val="00F96952"/>
    <w:rsid w:val="00FC6D9C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6E1D-5787-4E3E-9597-FF212F12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29</cp:revision>
  <cp:lastPrinted>2018-10-30T10:04:00Z</cp:lastPrinted>
  <dcterms:created xsi:type="dcterms:W3CDTF">2017-12-08T11:17:00Z</dcterms:created>
  <dcterms:modified xsi:type="dcterms:W3CDTF">2018-10-30T12:05:00Z</dcterms:modified>
</cp:coreProperties>
</file>