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DE428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15.01.2018</w:t>
      </w: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№</w:t>
      </w:r>
      <w:r w:rsidR="00B67EB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="00DE428B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42/1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7"/>
        <w:gridCol w:w="1702"/>
        <w:gridCol w:w="1418"/>
        <w:gridCol w:w="1418"/>
        <w:gridCol w:w="1417"/>
        <w:gridCol w:w="1276"/>
        <w:gridCol w:w="1283"/>
      </w:tblGrid>
      <w:tr w:rsidR="001C72EF" w:rsidRPr="000135BA" w:rsidTr="00DE0874">
        <w:trPr>
          <w:trHeight w:val="307"/>
          <w:tblCellSpacing w:w="5" w:type="nil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DE0874">
        <w:trPr>
          <w:trHeight w:val="503"/>
          <w:tblCellSpacing w:w="5" w:type="nil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85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DE0874">
        <w:trPr>
          <w:trHeight w:val="278"/>
          <w:tblCellSpacing w:w="5" w:type="nil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85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DE0874">
        <w:trPr>
          <w:trHeight w:val="267"/>
          <w:tblCellSpacing w:w="5" w:type="nil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85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DE0874">
        <w:trPr>
          <w:trHeight w:val="503"/>
          <w:tblCellSpacing w:w="5" w:type="nil"/>
        </w:trPr>
        <w:tc>
          <w:tcPr>
            <w:tcW w:w="54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B54E95">
        <w:trPr>
          <w:trHeight w:val="557"/>
          <w:tblCellSpacing w:w="5" w:type="nil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DE0874">
        <w:trPr>
          <w:trHeight w:val="334"/>
          <w:tblCellSpacing w:w="5" w:type="nil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DE0874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55775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DE0874">
        <w:trPr>
          <w:trHeight w:val="276"/>
          <w:tblCellSpacing w:w="5" w:type="nil"/>
        </w:trPr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DE0874" w:rsidRPr="000135BA" w:rsidTr="00DE0874">
        <w:trPr>
          <w:trHeight w:val="407"/>
          <w:tblCellSpacing w:w="5" w:type="nil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b/>
                <w:sz w:val="24"/>
                <w:szCs w:val="24"/>
                <w:lang w:val="ru"/>
              </w:rPr>
              <w:t>244929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56375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60DE1" w:rsidRDefault="00960DE1" w:rsidP="00FF1ADA">
      <w:pPr>
        <w:pStyle w:val="ConsPlusNormal"/>
        <w:ind w:left="11907" w:firstLine="0"/>
        <w:rPr>
          <w:rFonts w:ascii="Times New Roman" w:hAnsi="Times New Roman" w:cs="Times New Roman"/>
          <w:sz w:val="28"/>
          <w:szCs w:val="28"/>
        </w:rPr>
      </w:pPr>
    </w:p>
    <w:p w:rsidR="00F22077" w:rsidRDefault="00F22077" w:rsidP="00F2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9"/>
      <w:bookmarkEnd w:id="2"/>
    </w:p>
    <w:p w:rsidR="009B756D" w:rsidRDefault="009B756D" w:rsidP="00F2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756D" w:rsidRDefault="009B756D" w:rsidP="00F2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77" w:rsidRDefault="00F22077" w:rsidP="00F2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077" w:rsidRDefault="00F22077" w:rsidP="00F2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3C47" w:rsidRPr="001939D6" w:rsidRDefault="00343C47" w:rsidP="00343C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системы информирования населения о деятельности</w:t>
      </w:r>
    </w:p>
    <w:p w:rsidR="00343C47" w:rsidRPr="001939D6" w:rsidRDefault="00343C47" w:rsidP="00343C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31.10.2016 к Красногорскому муниципальному району относится 17 СМИ, зарегистрированных в Роскомнадзоре, в том числе 14 - периодические печатные издания (регулярно издаются 10 общественно-политических, 2 рекламные газеты).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</w:t>
      </w:r>
      <w:r w:rsidR="00A94CC3" w:rsidRPr="00A52CC0">
        <w:rPr>
          <w:rFonts w:ascii="Times New Roman" w:hAnsi="Times New Roman" w:cs="Times New Roman"/>
          <w:sz w:val="24"/>
          <w:szCs w:val="24"/>
        </w:rPr>
        <w:t>нал «Красногорское телевидение».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сети Интернет медиапространство городского округа Красногорск представлено одним сетевым изданием, зарегистрированным в Роскомнадзоре - Справочно-Информационный портал Красногорска, и несколькими новостными сайтами, не имеющими официальной регистрации.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2016 году было обеспечено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343C47" w:rsidRPr="00A52CC0" w:rsidRDefault="00343C47" w:rsidP="00A94C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343C47" w:rsidRPr="00A52CC0" w:rsidRDefault="00343C47" w:rsidP="00C9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343C47" w:rsidRPr="00A52CC0" w:rsidRDefault="00343C47" w:rsidP="00C9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343C47" w:rsidRPr="00A52CC0" w:rsidRDefault="00343C47" w:rsidP="00C9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C47" w:rsidRPr="001939D6" w:rsidRDefault="00343C47" w:rsidP="00343C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343C47" w:rsidRPr="00A52CC0" w:rsidRDefault="00343C47" w:rsidP="00343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C47" w:rsidRPr="00A52CC0" w:rsidRDefault="00343C47" w:rsidP="00C9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343C47" w:rsidRPr="00A52CC0" w:rsidRDefault="00343C47" w:rsidP="00C9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343C47" w:rsidRPr="00A52CC0" w:rsidRDefault="00343C47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7F636C" w:rsidRPr="00A52CC0" w:rsidRDefault="007F636C" w:rsidP="00C92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343C47" w:rsidRPr="00A52CC0" w:rsidRDefault="007F636C" w:rsidP="00343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</w:t>
      </w:r>
      <w:r w:rsidR="00343C47" w:rsidRPr="00A52CC0">
        <w:rPr>
          <w:rFonts w:ascii="Times New Roman" w:hAnsi="Times New Roman" w:cs="Times New Roman"/>
          <w:sz w:val="24"/>
          <w:szCs w:val="24"/>
        </w:rPr>
        <w:t>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C922B4" w:rsidRDefault="00C922B4" w:rsidP="0034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85321" w:rsidRDefault="00485321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90712" w:rsidRPr="00A94CC3" w:rsidRDefault="00990712" w:rsidP="00990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  <w:r w:rsidRPr="00A94CC3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990712" w:rsidRPr="00A94CC3" w:rsidRDefault="00990712" w:rsidP="00990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990712" w:rsidRPr="00A94CC3" w:rsidRDefault="00990712" w:rsidP="00990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990712" w:rsidRPr="00A94CC3" w:rsidRDefault="00990712" w:rsidP="009907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на 2017-2021 годы</w:t>
      </w:r>
    </w:p>
    <w:p w:rsidR="00990712" w:rsidRPr="00230AFC" w:rsidRDefault="00990712" w:rsidP="00990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66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"/>
        <w:gridCol w:w="3260"/>
        <w:gridCol w:w="3260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9B756D" w:rsidRPr="00230AFC" w:rsidTr="009B756D">
        <w:trPr>
          <w:trHeight w:val="9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6D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</w:t>
            </w:r>
          </w:p>
          <w:p w:rsidR="009B756D" w:rsidRPr="00230AFC" w:rsidRDefault="009B756D" w:rsidP="003C012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9B756D" w:rsidRPr="00230AFC" w:rsidTr="009B756D">
        <w:trPr>
          <w:trHeight w:val="7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D" w:rsidRPr="00230AFC" w:rsidRDefault="009B756D" w:rsidP="009918C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D" w:rsidRPr="00230AFC" w:rsidRDefault="009B756D" w:rsidP="009918C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6D" w:rsidRPr="00230AFC" w:rsidRDefault="009B756D" w:rsidP="009918C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4C4444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230AFC" w:rsidRDefault="009B756D" w:rsidP="009918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A508F" w:rsidRPr="00230AFC" w:rsidTr="002A508F"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508F" w:rsidRPr="00230AFC" w:rsidTr="009B756D">
        <w:trPr>
          <w:trHeight w:val="132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F" w:rsidRPr="00A52CC0" w:rsidRDefault="002A508F" w:rsidP="002A508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F" w:rsidRPr="00230AFC" w:rsidRDefault="002A508F" w:rsidP="002A508F">
            <w:pPr>
              <w:jc w:val="both"/>
              <w:rPr>
                <w:rFonts w:ascii="Times New Roman" w:eastAsia="Times New Roman" w:hAnsi="Times New Roman"/>
              </w:rPr>
            </w:pPr>
            <w:r w:rsidRPr="009B756D">
              <w:rPr>
                <w:rFonts w:ascii="Times New Roman" w:eastAsia="Times New Roman" w:hAnsi="Times New Roman"/>
              </w:rPr>
              <w:t>Повышение уровня информированности населения муниципального образования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F" w:rsidRPr="00F22077" w:rsidRDefault="002A508F" w:rsidP="002A508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Приоритетный целевой показатель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8F" w:rsidRPr="00230AFC" w:rsidRDefault="002A508F" w:rsidP="002A508F">
            <w:pPr>
              <w:widowControl w:val="0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C41D63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tabs>
                <w:tab w:val="left" w:pos="225"/>
                <w:tab w:val="center" w:pos="421"/>
              </w:tabs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8D5C41">
              <w:rPr>
                <w:rFonts w:eastAsia="Calibri"/>
                <w:color w:val="000000"/>
                <w:sz w:val="24"/>
                <w:szCs w:val="24"/>
                <w:lang w:eastAsia="en-US"/>
              </w:rPr>
              <w:t>503,52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rPr>
                <w:sz w:val="24"/>
                <w:szCs w:val="24"/>
              </w:rPr>
            </w:pPr>
            <w:r w:rsidRPr="008D5C41">
              <w:rPr>
                <w:sz w:val="24"/>
                <w:szCs w:val="24"/>
              </w:rPr>
              <w:t>2645,52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rPr>
                <w:sz w:val="24"/>
                <w:szCs w:val="24"/>
              </w:rPr>
            </w:pPr>
            <w:r w:rsidRPr="008D5C41">
              <w:rPr>
                <w:sz w:val="24"/>
                <w:szCs w:val="24"/>
              </w:rPr>
              <w:t>2772,42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rPr>
                <w:sz w:val="24"/>
                <w:szCs w:val="24"/>
              </w:rPr>
            </w:pPr>
            <w:r w:rsidRPr="008D5C41">
              <w:rPr>
                <w:sz w:val="24"/>
                <w:szCs w:val="24"/>
              </w:rPr>
              <w:t>2885,54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rPr>
                <w:sz w:val="24"/>
                <w:szCs w:val="24"/>
              </w:rPr>
            </w:pPr>
            <w:r w:rsidRPr="008D5C41">
              <w:rPr>
                <w:sz w:val="24"/>
                <w:szCs w:val="24"/>
              </w:rPr>
              <w:t>3004,89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08F" w:rsidRPr="00230AFC" w:rsidTr="009B756D">
        <w:trPr>
          <w:trHeight w:val="3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Default="002A508F" w:rsidP="002A508F">
            <w:pPr>
              <w:pStyle w:val="ConsPlusCell"/>
              <w:rPr>
                <w:sz w:val="24"/>
                <w:szCs w:val="24"/>
              </w:rPr>
            </w:pPr>
          </w:p>
          <w:p w:rsidR="002A508F" w:rsidRDefault="002A508F" w:rsidP="002A508F">
            <w:pPr>
              <w:pStyle w:val="ConsPlusCell"/>
              <w:rPr>
                <w:sz w:val="24"/>
                <w:szCs w:val="24"/>
              </w:rPr>
            </w:pPr>
          </w:p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8F" w:rsidRPr="00230AFC" w:rsidRDefault="002A508F" w:rsidP="002A508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незаконных </w:t>
            </w:r>
            <w:r w:rsidRPr="009B756D">
              <w:rPr>
                <w:rFonts w:ascii="Times New Roman" w:eastAsia="Times New Roman" w:hAnsi="Times New Roman"/>
              </w:rPr>
              <w:t xml:space="preserve">рекламных конструкций, установленных на территории муниципального образования Московской области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508F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F22077">
              <w:rPr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46699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 w:rsidRPr="008D5C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F" w:rsidRPr="00230AFC" w:rsidRDefault="002A508F" w:rsidP="002A508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90712" w:rsidRDefault="00990712" w:rsidP="00990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0712" w:rsidRDefault="00990712" w:rsidP="00990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0712" w:rsidRDefault="00990712" w:rsidP="009907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90712" w:rsidRDefault="00990712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BB6380" w:rsidRDefault="00BB638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B756D" w:rsidRDefault="009B756D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52CC0" w:rsidRDefault="00A52CC0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F636C" w:rsidRPr="007F636C" w:rsidRDefault="007F636C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F636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Методика расчета показателей эффективности реализации муниципальной программы</w:t>
      </w:r>
    </w:p>
    <w:p w:rsidR="007F636C" w:rsidRPr="007F636C" w:rsidRDefault="007F636C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F636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«Информирование населения о деятельности органов местного самоуправления</w:t>
      </w:r>
    </w:p>
    <w:p w:rsidR="007F636C" w:rsidRPr="007F636C" w:rsidRDefault="007F636C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F636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городского округа Красногорск Московской области»</w:t>
      </w:r>
    </w:p>
    <w:p w:rsidR="007F636C" w:rsidRPr="007F636C" w:rsidRDefault="007F636C" w:rsidP="007F636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F636C" w:rsidRPr="007F636C" w:rsidRDefault="007F636C" w:rsidP="007F636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206"/>
        <w:gridCol w:w="12"/>
        <w:gridCol w:w="7635"/>
        <w:gridCol w:w="2835"/>
      </w:tblGrid>
      <w:tr w:rsidR="007F636C" w:rsidRPr="007F636C" w:rsidTr="00EA4E3D">
        <w:tc>
          <w:tcPr>
            <w:tcW w:w="908" w:type="dxa"/>
          </w:tcPr>
          <w:p w:rsidR="007F636C" w:rsidRPr="007F636C" w:rsidRDefault="007F636C" w:rsidP="007F63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N п/п</w:t>
            </w:r>
          </w:p>
        </w:tc>
        <w:tc>
          <w:tcPr>
            <w:tcW w:w="3206" w:type="dxa"/>
          </w:tcPr>
          <w:p w:rsidR="007F636C" w:rsidRPr="007F636C" w:rsidRDefault="007F636C" w:rsidP="007F63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7647" w:type="dxa"/>
            <w:gridSpan w:val="2"/>
          </w:tcPr>
          <w:p w:rsidR="007F636C" w:rsidRDefault="007468AE" w:rsidP="007468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468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Методика расчета показателя эффективности реализации программы</w:t>
            </w:r>
          </w:p>
          <w:p w:rsidR="007F636C" w:rsidRDefault="007F636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7F636C" w:rsidRPr="007F636C" w:rsidRDefault="007468AE" w:rsidP="007F63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468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Источник информации</w:t>
            </w:r>
          </w:p>
        </w:tc>
      </w:tr>
      <w:tr w:rsidR="007F636C" w:rsidRPr="007F636C" w:rsidTr="00EA4E3D">
        <w:tc>
          <w:tcPr>
            <w:tcW w:w="908" w:type="dxa"/>
          </w:tcPr>
          <w:p w:rsidR="007F636C" w:rsidRPr="00BB6380" w:rsidRDefault="007F636C" w:rsidP="00BB6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B638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3218" w:type="dxa"/>
            <w:gridSpan w:val="2"/>
          </w:tcPr>
          <w:p w:rsidR="007F636C" w:rsidRPr="007F636C" w:rsidRDefault="007F636C" w:rsidP="006364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Повышение уровня информированности населения муниципального образования Московской области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635" w:type="dxa"/>
          </w:tcPr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>1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среднее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  +18) муниципального образования, запланированное в результате реализации мероприятий муниципальной программы отчётного периода.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4605"/>
            </w:tblGrid>
            <w:tr w:rsidR="007F636C" w:rsidRPr="007F636C" w:rsidTr="00A94CC3">
              <w:trPr>
                <w:trHeight w:val="346"/>
                <w:jc w:val="center"/>
              </w:trPr>
              <w:tc>
                <w:tcPr>
                  <w:tcW w:w="1119" w:type="dxa"/>
                  <w:vMerge w:val="restart"/>
                  <w:vAlign w:val="center"/>
                </w:tcPr>
                <w:p w:rsidR="007F636C" w:rsidRPr="007F636C" w:rsidRDefault="007F636C" w:rsidP="007F636C">
                  <w:pPr>
                    <w:widowControl w:val="0"/>
                    <w:autoSpaceDE w:val="0"/>
                    <w:autoSpaceDN w:val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V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=</w:t>
                  </w:r>
                </w:p>
              </w:tc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center"/>
                </w:tcPr>
                <w:p w:rsidR="007F636C" w:rsidRPr="007F636C" w:rsidRDefault="007F636C" w:rsidP="007F636C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vertAlign w:val="superscript"/>
                      <w:lang w:val="ru-RU"/>
                    </w:rPr>
                  </w:pP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V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vertAlign w:val="subscript"/>
                      <w:lang w:val="ru-RU"/>
                    </w:rPr>
                    <w:t>псми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 xml:space="preserve">+ 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V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vertAlign w:val="subscript"/>
                      <w:lang w:val="ru-RU"/>
                    </w:rPr>
                    <w:t>радио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 xml:space="preserve">+ 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V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vertAlign w:val="subscript"/>
                      <w:lang w:val="ru-RU"/>
                    </w:rPr>
                    <w:t>тв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 xml:space="preserve">+ 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V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vertAlign w:val="subscript"/>
                      <w:lang w:val="ru-RU"/>
                    </w:rPr>
                    <w:t>ин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 xml:space="preserve">+ 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/>
                    </w:rPr>
                    <w:t>V</w:t>
                  </w: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vertAlign w:val="subscript"/>
                      <w:lang w:val="ru-RU"/>
                    </w:rPr>
                    <w:t>пп</w:t>
                  </w:r>
                </w:p>
              </w:tc>
            </w:tr>
            <w:tr w:rsidR="007F636C" w:rsidRPr="007F636C" w:rsidTr="00A94CC3">
              <w:trPr>
                <w:trHeight w:val="154"/>
                <w:jc w:val="center"/>
              </w:trPr>
              <w:tc>
                <w:tcPr>
                  <w:tcW w:w="1119" w:type="dxa"/>
                  <w:vMerge/>
                  <w:vAlign w:val="center"/>
                </w:tcPr>
                <w:p w:rsidR="007F636C" w:rsidRPr="007F636C" w:rsidRDefault="007F636C" w:rsidP="007F636C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  <w:vAlign w:val="center"/>
                </w:tcPr>
                <w:p w:rsidR="007F636C" w:rsidRPr="007F636C" w:rsidRDefault="007F636C" w:rsidP="007F636C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 w:rsidRPr="007F636C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5</w:t>
                  </w:r>
                </w:p>
              </w:tc>
            </w:tr>
          </w:tbl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где: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ru-RU"/>
              </w:rPr>
              <w:t>псми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объём информации на одного жителя муниципального образования, получаемый посредством печатных СМИ;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ru-RU"/>
              </w:rPr>
              <w:t>радио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объём информации на одного жителя муниципального образования, получаемый посредством радиопередач;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ru-RU"/>
              </w:rPr>
              <w:t>тв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объём информации на одного жителя муниципального образования, получаемый посредством телепередач;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ru-RU"/>
              </w:rPr>
              <w:t>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объём информации на одного жителя муниципального образования, получаемый посредством Интернет изданий;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bscript"/>
                <w:lang w:val="ru-RU"/>
              </w:rPr>
              <w:t>пп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«5» – количество источников информации.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ЦА – целевая аудитория (Совершеннолетние жители муниципального образования  +18.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Источником информации данных служит сайт избирательной комиссии Московской области </w:t>
            </w:r>
            <w:hyperlink r:id="rId8" w:history="1">
              <w:r w:rsidRPr="007F636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ru-RU"/>
                </w:rPr>
                <w:t>http://moscow-reg.izbirkom.ru/way/934468.html</w:t>
              </w:r>
            </w:hyperlink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 Данные находятся в свободном доступе. Обновление осуществляется раз в полгода).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псми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=(N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пол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* Т)/ ЦА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 где: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пол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— количество полос формата А3, запланированных в результате проведения мероприятий;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 — разовый тираж, как количество потенциальных потребителей информации;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радио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=(N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мин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* Ср)/ ЦА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 где: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мин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Ср —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 xml:space="preserve">тв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=(N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мин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* С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тв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)/ ЦА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 где: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мин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— количество минут вещания, запланированных в результате проведения мероприятий;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Ств —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V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=(N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мин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* С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ин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)/ ЦА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 где: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N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>мат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— количество материалов, запланированных к размещению в результате выполнения мероприятий;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bscript"/>
                <w:lang w:val="ru-RU"/>
              </w:rPr>
              <w:t xml:space="preserve">ин </w:t>
            </w: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— количество посетителей интернет издания в отчетный период.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Vпп =(М * Тпп)/ ЦА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 где: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 —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Тпп — разовый тираж издания, как количество потенциальных потребителей информации.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7F636C" w:rsidRPr="007F636C" w:rsidRDefault="007468AE" w:rsidP="006364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Д</w:t>
            </w:r>
            <w:r w:rsidRPr="007468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анные Муниципальных образований и Главного управления по информационной политике Московской области</w:t>
            </w:r>
          </w:p>
        </w:tc>
      </w:tr>
      <w:tr w:rsidR="007F636C" w:rsidRPr="007F636C" w:rsidTr="00EA4E3D">
        <w:trPr>
          <w:trHeight w:val="580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6C" w:rsidRPr="00BB6380" w:rsidRDefault="007F636C" w:rsidP="00BB6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B6380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6C" w:rsidRPr="007F636C" w:rsidRDefault="007F636C" w:rsidP="006364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F6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Наличие незаконных рекламных конструкций, установленных на территории муниципального образова</w:t>
            </w:r>
            <w:r w:rsidR="00C922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ния Московской области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auto"/>
                    <w:sz w:val="22"/>
                    <w:szCs w:val="22"/>
                    <w:lang w:val="ru-RU" w:eastAsia="en-US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color w:val="auto"/>
                        <w:sz w:val="22"/>
                        <w:szCs w:val="22"/>
                        <w:lang w:val="ru-RU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auto"/>
                        <w:sz w:val="22"/>
                        <w:szCs w:val="22"/>
                        <w:lang w:val="ru-RU" w:eastAsia="en-US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auto"/>
                        <w:sz w:val="22"/>
                        <w:szCs w:val="22"/>
                        <w:lang w:val="ru-RU" w:eastAsia="en-US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auto"/>
                    <w:sz w:val="22"/>
                    <w:szCs w:val="22"/>
                    <w:lang w:val="ru-RU" w:eastAsia="en-US"/>
                  </w:rPr>
                  <m:t xml:space="preserve"> *10</m:t>
                </m:r>
                <m:r>
                  <w:rPr>
                    <w:rFonts w:ascii="Cambria Math" w:eastAsia="Calibri" w:hAnsi="Cambria Math" w:cs="Times New Roman"/>
                    <w:color w:val="auto"/>
                    <w:sz w:val="22"/>
                    <w:szCs w:val="22"/>
                    <w:lang w:val="ru-RU" w:eastAsia="en-US"/>
                  </w:rPr>
                  <m:t>0%</m:t>
                </m:r>
              </m:oMath>
            </m:oMathPara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C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=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+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Y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+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Z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где: А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noBreakHyphen/>
              <w:t xml:space="preserve"> незаконные рекламные конструкции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по отношению к общему количеству на территории, в процентах;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В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noBreakHyphen/>
              <w:t xml:space="preserve"> количество рекламных конструкций в схеме и вне схемы, фактически установленных без действующих разрешений;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С – общее количество рекламных конструкций на территории 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(сумма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,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Y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и 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Z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>);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X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– количество рекламных конструкций в схеме, установленных с действующими разрешениями;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Y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– количество рекламных конструкций вне схемы, установленных с действующими разрешениями;</w:t>
            </w:r>
          </w:p>
          <w:p w:rsidR="007F636C" w:rsidRPr="007F636C" w:rsidRDefault="007F636C" w:rsidP="007F636C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Z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 –количество рекламных конструкций в схеме и вне схемы, фактически установленных без действующих разрешений</w:t>
            </w:r>
            <w:r w:rsidRPr="007F63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.</w:t>
            </w: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F636C" w:rsidRPr="007F636C" w:rsidRDefault="007F636C" w:rsidP="007F63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6C" w:rsidRPr="007F636C" w:rsidRDefault="007468AE" w:rsidP="006364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468A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Данные мониторинга Государственного казённого учреждения Московской области «Мособлреклама»</w:t>
            </w:r>
          </w:p>
        </w:tc>
      </w:tr>
    </w:tbl>
    <w:p w:rsidR="007F636C" w:rsidRPr="007F636C" w:rsidRDefault="007F636C" w:rsidP="007F636C">
      <w:pPr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  <w:r w:rsidRPr="007F636C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[1] – При оценке результатов реализации мероприятий муниципальной программы расчет фактических значений показателей производится по формулам данной методики.</w:t>
      </w:r>
    </w:p>
    <w:p w:rsidR="00EA4E3D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EA4E3D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EA4E3D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EA4E3D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EA4E3D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BB6380" w:rsidRDefault="00BB6380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A52CC0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A52CC0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A52CC0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A52CC0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3" w:name="P187"/>
      <w:bookmarkEnd w:id="3"/>
      <w:r w:rsidRPr="00A52CC0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BB6380" w:rsidRDefault="00BB638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BB6380" w:rsidRDefault="00BB638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A52CC0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A52CC0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A52CC0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A52CC0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A52CC0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A52CC0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52CC0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A52CC0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52CC0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A52CC0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A52CC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BB6380" w:rsidRPr="000135BA" w:rsidRDefault="00BB6380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364A9" w:rsidRDefault="006364A9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4" w:name="Par335"/>
      <w:bookmarkEnd w:id="4"/>
    </w:p>
    <w:p w:rsidR="00BB6380" w:rsidRDefault="00BB6380" w:rsidP="00662D1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7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258"/>
        <w:gridCol w:w="851"/>
        <w:gridCol w:w="1701"/>
        <w:gridCol w:w="992"/>
        <w:gridCol w:w="1134"/>
        <w:gridCol w:w="850"/>
        <w:gridCol w:w="851"/>
        <w:gridCol w:w="850"/>
        <w:gridCol w:w="851"/>
        <w:gridCol w:w="850"/>
        <w:gridCol w:w="993"/>
        <w:gridCol w:w="1783"/>
      </w:tblGrid>
      <w:tr w:rsidR="00B431F4" w:rsidRPr="00D45849" w:rsidTr="00226091">
        <w:trPr>
          <w:trHeight w:val="1075"/>
          <w:tblHeader/>
        </w:trPr>
        <w:tc>
          <w:tcPr>
            <w:tcW w:w="737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Объём финансирования мероприятия в году предшествующему году начала реализации мун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программы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программы/подпрограммы</w:t>
            </w:r>
          </w:p>
        </w:tc>
      </w:tr>
      <w:tr w:rsidR="00B431F4" w:rsidRPr="00D45849" w:rsidTr="00226091">
        <w:trPr>
          <w:trHeight w:val="782"/>
          <w:tblHeader/>
        </w:trPr>
        <w:tc>
          <w:tcPr>
            <w:tcW w:w="737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226091">
        <w:trPr>
          <w:trHeight w:val="338"/>
          <w:tblHeader/>
        </w:trPr>
        <w:tc>
          <w:tcPr>
            <w:tcW w:w="737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226091">
        <w:trPr>
          <w:trHeight w:val="422"/>
        </w:trPr>
        <w:tc>
          <w:tcPr>
            <w:tcW w:w="737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237929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54775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6364A9">
        <w:trPr>
          <w:trHeight w:val="1205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220329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54575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38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  <w:tr w:rsidR="00440B9A" w:rsidRPr="00D45849" w:rsidTr="00226091">
        <w:trPr>
          <w:trHeight w:val="338"/>
        </w:trPr>
        <w:tc>
          <w:tcPr>
            <w:tcW w:w="737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237929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54775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A52CC0">
        <w:trPr>
          <w:trHeight w:val="1186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220329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54575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440B9A">
        <w:trPr>
          <w:trHeight w:val="338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440B9A">
        <w:trPr>
          <w:trHeight w:val="521"/>
        </w:trPr>
        <w:tc>
          <w:tcPr>
            <w:tcW w:w="737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62136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440B9A">
        <w:trPr>
          <w:trHeight w:val="338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62136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440B9A">
        <w:trPr>
          <w:trHeight w:val="338"/>
        </w:trPr>
        <w:tc>
          <w:tcPr>
            <w:tcW w:w="737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38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38"/>
        </w:trPr>
        <w:tc>
          <w:tcPr>
            <w:tcW w:w="737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lastRenderedPageBreak/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106175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28241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– 86 400 минут в год (2018 год)</w:t>
            </w:r>
          </w:p>
        </w:tc>
      </w:tr>
      <w:tr w:rsidR="00440B9A" w:rsidRPr="00D45849" w:rsidTr="00226091">
        <w:trPr>
          <w:trHeight w:val="338"/>
        </w:trPr>
        <w:tc>
          <w:tcPr>
            <w:tcW w:w="73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106175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28241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36"/>
        </w:trPr>
        <w:tc>
          <w:tcPr>
            <w:tcW w:w="737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1.1.3.1.                               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1005"/>
        </w:trPr>
        <w:tc>
          <w:tcPr>
            <w:tcW w:w="737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75"/>
        </w:trPr>
        <w:tc>
          <w:tcPr>
            <w:tcW w:w="737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89984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  <w:r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226091">
        <w:trPr>
          <w:trHeight w:val="1320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89984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95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Повышение профессиональных навыков работников на  75%</w:t>
            </w:r>
          </w:p>
        </w:tc>
      </w:tr>
      <w:tr w:rsidR="00440B9A" w:rsidRPr="00D45849" w:rsidTr="006364A9">
        <w:trPr>
          <w:trHeight w:val="359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4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1.1.3.4.                                      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5964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5824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226091">
        <w:trPr>
          <w:trHeight w:val="435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5964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5824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6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440B9A" w:rsidRPr="00D45849" w:rsidTr="00226091">
        <w:trPr>
          <w:trHeight w:val="645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4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>мационных материалов  объемом: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226091">
        <w:trPr>
          <w:trHeight w:val="205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18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1.1.5.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226091">
        <w:trPr>
          <w:trHeight w:val="150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135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блогосферы, проведение медиа-исследований аудитории СМИ на территории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Подготовка ежемесячных аналитических материалов об уровне информированности населения городского округа Красногорск Московской </w:t>
            </w:r>
            <w:r w:rsidRPr="00DA7286">
              <w:rPr>
                <w:rFonts w:ascii="Times New Roman" w:hAnsi="Times New Roman"/>
                <w:sz w:val="20"/>
                <w:szCs w:val="20"/>
              </w:rPr>
              <w:lastRenderedPageBreak/>
              <w:t>области о ОМСУ городского округа Красногорск Московской области.</w:t>
            </w:r>
          </w:p>
        </w:tc>
      </w:tr>
      <w:tr w:rsidR="00440B9A" w:rsidRPr="00D45849" w:rsidTr="00226091">
        <w:trPr>
          <w:trHeight w:val="225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18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0 компл./год,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0 компл./год</w:t>
            </w:r>
          </w:p>
        </w:tc>
      </w:tr>
      <w:tr w:rsidR="00440B9A" w:rsidRPr="00D45849" w:rsidTr="00226091">
        <w:trPr>
          <w:trHeight w:val="210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2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1275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6364A9">
        <w:trPr>
          <w:trHeight w:val="2336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1.1.9.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43588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226091">
        <w:trPr>
          <w:trHeight w:val="345"/>
        </w:trPr>
        <w:tc>
          <w:tcPr>
            <w:tcW w:w="737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510"/>
        </w:trPr>
        <w:tc>
          <w:tcPr>
            <w:tcW w:w="737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460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205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525"/>
        </w:trPr>
        <w:tc>
          <w:tcPr>
            <w:tcW w:w="737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90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330"/>
        </w:trPr>
        <w:tc>
          <w:tcPr>
            <w:tcW w:w="73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конструкций на территории 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Соответствие количества и фактического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440B9A" w:rsidRPr="00D45849" w:rsidTr="00226091">
        <w:trPr>
          <w:trHeight w:val="330"/>
        </w:trPr>
        <w:tc>
          <w:tcPr>
            <w:tcW w:w="737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6B0EE1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226091">
        <w:trPr>
          <w:trHeight w:val="1380"/>
        </w:trPr>
        <w:tc>
          <w:tcPr>
            <w:tcW w:w="7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A52CC0">
        <w:trPr>
          <w:trHeight w:val="270"/>
        </w:trPr>
        <w:tc>
          <w:tcPr>
            <w:tcW w:w="3995" w:type="dxa"/>
            <w:gridSpan w:val="2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Pr="003E70B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244929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56375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A52CC0">
        <w:trPr>
          <w:trHeight w:val="150"/>
        </w:trPr>
        <w:tc>
          <w:tcPr>
            <w:tcW w:w="3995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225329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55775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776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A52CC0">
        <w:trPr>
          <w:trHeight w:val="120"/>
        </w:trPr>
        <w:tc>
          <w:tcPr>
            <w:tcW w:w="3995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776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P987"/>
      <w:bookmarkEnd w:id="6"/>
    </w:p>
    <w:sectPr w:rsidR="003E70BE" w:rsidSect="006364A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47" w:rsidRDefault="00BE4D47" w:rsidP="00882DB1">
      <w:r>
        <w:separator/>
      </w:r>
    </w:p>
  </w:endnote>
  <w:endnote w:type="continuationSeparator" w:id="0">
    <w:p w:rsidR="00BE4D47" w:rsidRDefault="00BE4D47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47" w:rsidRDefault="00BE4D47" w:rsidP="00882DB1">
      <w:r>
        <w:separator/>
      </w:r>
    </w:p>
  </w:footnote>
  <w:footnote w:type="continuationSeparator" w:id="0">
    <w:p w:rsidR="00BE4D47" w:rsidRDefault="00BE4D47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1"/>
    <w:rsid w:val="000509B0"/>
    <w:rsid w:val="0008484C"/>
    <w:rsid w:val="000978B3"/>
    <w:rsid w:val="00184F3D"/>
    <w:rsid w:val="001939D6"/>
    <w:rsid w:val="001C2D97"/>
    <w:rsid w:val="001C373B"/>
    <w:rsid w:val="001C72EF"/>
    <w:rsid w:val="00226091"/>
    <w:rsid w:val="00251ABF"/>
    <w:rsid w:val="0026627E"/>
    <w:rsid w:val="0028554B"/>
    <w:rsid w:val="0029205F"/>
    <w:rsid w:val="002A508F"/>
    <w:rsid w:val="002C1E6F"/>
    <w:rsid w:val="002D3E8A"/>
    <w:rsid w:val="00343C47"/>
    <w:rsid w:val="00397491"/>
    <w:rsid w:val="003A039D"/>
    <w:rsid w:val="003C0120"/>
    <w:rsid w:val="003E70BE"/>
    <w:rsid w:val="004327D4"/>
    <w:rsid w:val="00440B9A"/>
    <w:rsid w:val="00462CA7"/>
    <w:rsid w:val="00466995"/>
    <w:rsid w:val="00485321"/>
    <w:rsid w:val="004A098B"/>
    <w:rsid w:val="004B372B"/>
    <w:rsid w:val="004D65AD"/>
    <w:rsid w:val="00556A5C"/>
    <w:rsid w:val="0056749D"/>
    <w:rsid w:val="00581C7B"/>
    <w:rsid w:val="00597112"/>
    <w:rsid w:val="005A160D"/>
    <w:rsid w:val="005F14C1"/>
    <w:rsid w:val="006364A9"/>
    <w:rsid w:val="00662D1E"/>
    <w:rsid w:val="00697CCB"/>
    <w:rsid w:val="006B0EE1"/>
    <w:rsid w:val="00716CE3"/>
    <w:rsid w:val="00717D73"/>
    <w:rsid w:val="007468AE"/>
    <w:rsid w:val="00776F51"/>
    <w:rsid w:val="007B59D9"/>
    <w:rsid w:val="007F2299"/>
    <w:rsid w:val="007F636C"/>
    <w:rsid w:val="00882DB1"/>
    <w:rsid w:val="00897C3F"/>
    <w:rsid w:val="008A6DE6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90712"/>
    <w:rsid w:val="009918C5"/>
    <w:rsid w:val="009B56F0"/>
    <w:rsid w:val="009B756D"/>
    <w:rsid w:val="009E6CA6"/>
    <w:rsid w:val="00A362AF"/>
    <w:rsid w:val="00A52CC0"/>
    <w:rsid w:val="00A63FAC"/>
    <w:rsid w:val="00A94CC3"/>
    <w:rsid w:val="00AB2DEA"/>
    <w:rsid w:val="00AF026F"/>
    <w:rsid w:val="00B05A11"/>
    <w:rsid w:val="00B431F4"/>
    <w:rsid w:val="00B43639"/>
    <w:rsid w:val="00B54E95"/>
    <w:rsid w:val="00B61F04"/>
    <w:rsid w:val="00B67EBD"/>
    <w:rsid w:val="00B761AA"/>
    <w:rsid w:val="00BA7ECF"/>
    <w:rsid w:val="00BB6380"/>
    <w:rsid w:val="00BE4D47"/>
    <w:rsid w:val="00C41D63"/>
    <w:rsid w:val="00C6774C"/>
    <w:rsid w:val="00C922B4"/>
    <w:rsid w:val="00C96983"/>
    <w:rsid w:val="00CC7E22"/>
    <w:rsid w:val="00CF5611"/>
    <w:rsid w:val="00D92A5E"/>
    <w:rsid w:val="00DA7286"/>
    <w:rsid w:val="00DD5214"/>
    <w:rsid w:val="00DE0874"/>
    <w:rsid w:val="00DE428B"/>
    <w:rsid w:val="00E528ED"/>
    <w:rsid w:val="00E54FDF"/>
    <w:rsid w:val="00EA4E3D"/>
    <w:rsid w:val="00EB3E40"/>
    <w:rsid w:val="00F22077"/>
    <w:rsid w:val="00F41063"/>
    <w:rsid w:val="00F54466"/>
    <w:rsid w:val="00F757EA"/>
    <w:rsid w:val="00F957A6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reg.izbirkom.ru/way/93446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8185-6A45-4980-8C83-185678B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Новиков И</cp:lastModifiedBy>
  <cp:revision>20</cp:revision>
  <cp:lastPrinted>2018-01-22T11:13:00Z</cp:lastPrinted>
  <dcterms:created xsi:type="dcterms:W3CDTF">2017-12-08T11:17:00Z</dcterms:created>
  <dcterms:modified xsi:type="dcterms:W3CDTF">2018-01-31T12:15:00Z</dcterms:modified>
</cp:coreProperties>
</file>