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157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615724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61572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724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2017г.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615724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615724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615724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615724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615724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615724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263ADF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1 877 859,70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263AD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1 001 469</w:t>
            </w:r>
            <w:r w:rsidR="00F4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263AD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483 668,17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615724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F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156 003,96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D32A3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1 961 810,96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F4570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615724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615724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914FB4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263ADF" w:rsidP="007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3 227 420</w:t>
            </w:r>
            <w:r w:rsidR="00F4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263ADF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737 861,17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теплосеть», ОАО «Водоканал», ООО «Котельная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П</w:t>
      </w:r>
      <w:proofErr w:type="spellStart"/>
      <w:r w:rsidRPr="0061572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61572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«Очистка сточных вод».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92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615724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муниципальной программы </w:t>
      </w:r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городского округа Красногорск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615724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615724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созданных и восстановленных ВЗУ, ВНС и станций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615724" w:rsidRDefault="0018424E" w:rsidP="001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Чистая вода 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24871" w:rsidP="0082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«Очистка сточных вод»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24871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24871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615724" w:rsidTr="008459D5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Задолженность за потребленные 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jc w:val="center"/>
              <w:rPr>
                <w:sz w:val="24"/>
                <w:szCs w:val="24"/>
              </w:rPr>
            </w:pPr>
            <w:r w:rsidRPr="00615724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615724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5A3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615724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2FA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водоотведения в общем количестве РСО, </w:t>
            </w:r>
            <w:r w:rsidR="00691D56"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615724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472340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1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615724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Бережливый учет – Оснащённость многоквартирных домов приборами учёта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615724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615724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615724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424E" w:rsidRPr="00615724" w:rsidRDefault="0018424E" w:rsidP="00537860">
      <w:pPr>
        <w:spacing w:after="10" w:line="271" w:lineRule="auto"/>
        <w:ind w:left="3042" w:right="826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2" w:name="Par335"/>
      <w:bookmarkEnd w:id="2"/>
    </w:p>
    <w:p w:rsidR="0018424E" w:rsidRPr="00615724" w:rsidRDefault="001842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61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</w:p>
    <w:p w:rsidR="00537860" w:rsidRPr="00615724" w:rsidRDefault="00537860" w:rsidP="00537860">
      <w:pPr>
        <w:spacing w:after="10" w:line="271" w:lineRule="auto"/>
        <w:ind w:left="3042" w:right="826" w:hanging="3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615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 xml:space="preserve">Методика расчета значений показателей эффективности реализации программы. 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615724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615724" w:rsidRDefault="00537860" w:rsidP="0053786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1830" w:right="177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right="49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615724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615724" w:rsidRDefault="00537860" w:rsidP="00537860">
            <w:pPr>
              <w:ind w:left="3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615724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615724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очистки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615724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472340" w:rsidP="00472340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615724" w:rsidRDefault="00472340" w:rsidP="0047234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615724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615724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615724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615724" w:rsidRDefault="008459D5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615724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«Очистка сточных вод»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61572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615724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615724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615724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537860" w:rsidRPr="00615724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8459D5">
            <w:pPr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8459D5">
            <w:pPr>
              <w:numPr>
                <w:ilvl w:val="0"/>
                <w:numId w:val="12"/>
              </w:numPr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Количество созданных и восстановленных объектов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8459D5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B615E7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="00472340" w:rsidRPr="00615724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8459D5" w:rsidRPr="00615724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Задолженность за потребленные </w:t>
            </w:r>
            <w:r w:rsidR="00472340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8459D5" w:rsidP="008459D5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8459D5" w:rsidRPr="00615724" w:rsidRDefault="008459D5" w:rsidP="008459D5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8459D5" w:rsidRPr="00615724" w:rsidRDefault="008459D5" w:rsidP="008459D5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8459D5" w:rsidRPr="00615724" w:rsidRDefault="008459D5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5" w:rsidRPr="00615724" w:rsidRDefault="008459D5" w:rsidP="00B615E7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</w:t>
            </w:r>
            <w:r w:rsidR="00B615E7"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ь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РСО.</w:t>
            </w:r>
          </w:p>
        </w:tc>
      </w:tr>
      <w:tr w:rsidR="008459D5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615724" w:rsidRDefault="00472340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15724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61572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615724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B615E7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8459D5" w:rsidRPr="00615724" w:rsidRDefault="00B615E7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D5" w:rsidRPr="00615724" w:rsidRDefault="00B615E7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7234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472340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объектов</w:t>
            </w:r>
            <w:proofErr w:type="gramEnd"/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615724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66B2B421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Nсокр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72340" w:rsidRPr="00615724" w:rsidRDefault="00472340" w:rsidP="00472340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40" w:rsidRPr="00615724" w:rsidRDefault="00615724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7234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615724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72340" w:rsidRPr="00615724" w:rsidRDefault="00472340" w:rsidP="00B615E7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40" w:rsidRPr="00615724" w:rsidRDefault="00615724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7234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615724" w:rsidRDefault="00615724" w:rsidP="00472340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615724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615724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ОЗП4 = 2,5 балла при получении городским округом от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72340" w:rsidRPr="00615724" w:rsidRDefault="00615724" w:rsidP="00615724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40" w:rsidRPr="00615724" w:rsidRDefault="00615724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18424E"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«Энергосбережение</w:t>
            </w:r>
            <w:r w:rsidRPr="00615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и повышение энергетической эффективности»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537860" w:rsidRPr="00615724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AA424D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учёт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AA424D" w:rsidRPr="00615724" w:rsidRDefault="00AA424D" w:rsidP="00AA424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537860" w:rsidRPr="00615724" w:rsidRDefault="00AA424D" w:rsidP="00B615E7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AA424D" w:rsidP="00AA424D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537860" w:rsidRPr="00615724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537860" w:rsidRPr="00615724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537860" w:rsidRPr="00615724" w:rsidRDefault="00537860" w:rsidP="00537860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537860" w:rsidRPr="00615724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537860" w:rsidRPr="00615724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615724" w:rsidRDefault="00B615E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18424E" w:rsidRPr="00615724" w:rsidRDefault="0018424E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ЧИСТАЯ ВОДА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615724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615724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</w:tr>
      <w:tr w:rsidR="00263ADF" w:rsidRPr="00615724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8 679,90</w:t>
            </w:r>
          </w:p>
        </w:tc>
      </w:tr>
      <w:tr w:rsidR="00263ADF" w:rsidRPr="00615724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7F7C0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7F7C0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154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263ADF" w:rsidRPr="00615724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18424E" w:rsidRPr="00615724" w:rsidRDefault="0018424E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br w:type="page"/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7F7C0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7F7C0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 6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г. Красногорск, д/о "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Серебрян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-ка"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615724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615724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615724" w:rsidRDefault="00263ADF" w:rsidP="00263A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615724" w:rsidRDefault="00263ADF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615724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615724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615724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615724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водозаборного узла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 обустройством на его территории станции обезжелезивания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 адресу: Московская область, городской округ Красногорск,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Default="00E72238" w:rsidP="00E72238">
            <w:pPr>
              <w:jc w:val="center"/>
            </w:pPr>
            <w:r w:rsidRPr="000547E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615724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Default="00E72238" w:rsidP="00E72238">
            <w:pPr>
              <w:jc w:val="center"/>
            </w:pPr>
            <w:r w:rsidRPr="000547E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615724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6238A7" w:rsidRPr="00615724" w:rsidRDefault="006238A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«ОЧИСТКА СТОЧНЫХ ВОД»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615724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615724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800 000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615724" w:rsidRDefault="00E72238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313 907,17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4570E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1 113 907,17</w:t>
            </w:r>
          </w:p>
        </w:tc>
      </w:tr>
      <w:tr w:rsidR="00537860" w:rsidRPr="00615724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312 000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E72238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119 714,17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F4570E" w:rsidRDefault="00E7223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431 714,17</w:t>
            </w:r>
          </w:p>
        </w:tc>
      </w:tr>
      <w:tr w:rsidR="00537860" w:rsidRPr="00615724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F4570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194 193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F4570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682 193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«Очистка сточных вод»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Целью подпрограммы II «Очистка сточных вод» является очистка сточных вод до нормативных значений.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го</w:t>
      </w:r>
      <w:proofErr w:type="spellEnd"/>
      <w:r w:rsidRPr="0061572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«Очистка сточных вод»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E24BAB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  <w:r w:rsid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13907,17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E72238" w:rsidP="00D02FC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313 907,17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ых объектов очистки сточных вод суммарной производительностью</w:t>
            </w:r>
          </w:p>
          <w:p w:rsidR="00537860" w:rsidRPr="00615724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D02FCE" w:rsidP="00537860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431 714,17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E72238" w:rsidP="00E72238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119 714,17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615724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ия канализационного коллектора 2Ф-1200 мм от КНС-1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левом берегу р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еки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Москвы до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с регулирующими задвижками у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пешеходного моста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на правом берегу с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переходом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через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реку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615724" w:rsidRDefault="00E24BAB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  <w:r w:rsid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113907,17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615724" w:rsidRDefault="00D02FCE" w:rsidP="00D02FCE">
            <w:pPr>
              <w:spacing w:after="0" w:line="240" w:lineRule="auto"/>
              <w:ind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313 907,17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615724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615724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  <w:p w:rsidR="00E24BAB" w:rsidRPr="00615724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615724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615724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615724" w:rsidRDefault="00D02FCE" w:rsidP="00E24BAB">
            <w:pPr>
              <w:spacing w:after="0" w:line="240" w:lineRule="auto"/>
              <w:ind w:right="-116" w:hanging="75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431 714,17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D02FCE" w:rsidP="00D02FC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119 714,17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615724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238A7" w:rsidRPr="00615724" w:rsidTr="00537860">
        <w:trPr>
          <w:trHeight w:val="1166"/>
        </w:trPr>
        <w:tc>
          <w:tcPr>
            <w:tcW w:w="567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1.2</w:t>
            </w:r>
          </w:p>
        </w:tc>
        <w:tc>
          <w:tcPr>
            <w:tcW w:w="2297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38A7" w:rsidRPr="00615724" w:rsidRDefault="006238A7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238A7" w:rsidRPr="00615724" w:rsidRDefault="006238A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615724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615724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615724" w:rsidRDefault="00467904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053 471,40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418 909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D02FCE" w:rsidP="0046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2 926 471,40</w:t>
            </w:r>
          </w:p>
        </w:tc>
      </w:tr>
      <w:tr w:rsidR="007F7C04" w:rsidRPr="00615724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615724" w:rsidRDefault="00D02FCE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648 902,44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334 091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358 909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D02FCE" w:rsidP="006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1 341 902,44</w:t>
            </w:r>
          </w:p>
        </w:tc>
      </w:tr>
      <w:tr w:rsidR="007F7C04" w:rsidRPr="00615724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</w:tr>
      <w:tr w:rsidR="007F7C04" w:rsidRPr="00615724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615724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193547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615724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proofErr w:type="gram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</w:t>
      </w:r>
      <w:proofErr w:type="gram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615724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615724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615724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615724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615724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615724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615724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615724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615724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615724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193547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193547" w:rsidRPr="00615724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FA2DBB" w:rsidRPr="00615724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III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приятия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Источники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мероприятия в году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предшест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вующему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D02FCE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2 926 471,40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2 053 471,40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FCE" w:rsidRPr="00D02FCE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1 341 902,44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648 902,44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D02FCE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FC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615724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1 319 568,96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D02FCE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FC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D02FCE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300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тепло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снабжения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неис-полнения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-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либо отказа указан-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ных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сни-жению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во-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070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задолженности  предприятий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предоставляющих жилищно-коммунальные услуги населению, за энергоносители и за услуги водо-снабжения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531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Актуализация схем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теплоснабжения,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во-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615724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02F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615724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17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615724" w:rsidRDefault="00D02FCE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D02FC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615724" w:rsidTr="00537860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992" w:type="dxa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615724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615724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F77944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и выводом из эксплуатации ЦТП №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615724" w:rsidRDefault="004A54EA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52 235,27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615724" w:rsidRDefault="004A54EA" w:rsidP="00537860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52 235,27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ind w:right="-250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1276" w:type="dxa"/>
            <w:vAlign w:val="center"/>
          </w:tcPr>
          <w:p w:rsidR="00537860" w:rsidRPr="00615724" w:rsidRDefault="00F77944" w:rsidP="00537860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F77944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Реконструкция тепловых сетей отопления и горячего водо-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снабжения  по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480 274,93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480 274,93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615724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4 802,93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4 802,93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F77944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475 472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475 472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77944" w:rsidRPr="00615724" w:rsidTr="00F77944">
        <w:trPr>
          <w:trHeight w:val="481"/>
        </w:trPr>
        <w:tc>
          <w:tcPr>
            <w:tcW w:w="567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944" w:rsidRPr="00615724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615724" w:rsidRDefault="00B95B1A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353 760,43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44" w:rsidRPr="00615724" w:rsidRDefault="00B95B1A" w:rsidP="00F77944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353 760,43</w:t>
            </w:r>
          </w:p>
        </w:tc>
        <w:tc>
          <w:tcPr>
            <w:tcW w:w="992" w:type="dxa"/>
            <w:vAlign w:val="center"/>
          </w:tcPr>
          <w:p w:rsidR="00F77944" w:rsidRPr="00615724" w:rsidRDefault="00F77944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7944" w:rsidRPr="00615724" w:rsidRDefault="00F77944" w:rsidP="00F7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1276" w:type="dxa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F77944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4A54E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B95B1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45 650,50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6 050,50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39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8 036,30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34 650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EE52F3" w:rsidTr="00A62AFD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proofErr w:type="gramStart"/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  пос.</w:t>
            </w:r>
            <w:proofErr w:type="gramEnd"/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EE52F3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EE52F3" w:rsidTr="00DE28C8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EE52F3" w:rsidRDefault="00A76120" w:rsidP="00A7612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EE52F3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EE52F3" w:rsidTr="006F23F4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EE52F3" w:rsidTr="006F23F4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6F23F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615724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Default="006F23F4" w:rsidP="006F23F4">
            <w:pPr>
              <w:jc w:val="center"/>
            </w:pPr>
            <w:r w:rsidRPr="004061E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EE52F3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EE52F3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615724" w:rsidTr="00537860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F67C93" w:rsidRPr="00615724" w:rsidRDefault="00EE52F3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</w:t>
            </w:r>
            <w:r w:rsidR="0005698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уставного капитала ПАО «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615724" w:rsidRDefault="00F67C93" w:rsidP="00F67C9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615724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EE52F3" w:rsidTr="00537860">
        <w:trPr>
          <w:trHeight w:val="256"/>
        </w:trPr>
        <w:tc>
          <w:tcPr>
            <w:tcW w:w="567" w:type="dxa"/>
            <w:vMerge w:val="restart"/>
            <w:shd w:val="clear" w:color="auto" w:fill="auto"/>
          </w:tcPr>
          <w:p w:rsidR="00537860" w:rsidRPr="00EE52F3" w:rsidRDefault="000569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EE52F3" w:rsidRDefault="00A76120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603 436,62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EE52F3" w:rsidRDefault="00A76120" w:rsidP="00F779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72 436,62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253 091</w:t>
            </w:r>
          </w:p>
        </w:tc>
        <w:tc>
          <w:tcPr>
            <w:tcW w:w="992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277 909</w:t>
            </w:r>
          </w:p>
        </w:tc>
        <w:tc>
          <w:tcPr>
            <w:tcW w:w="851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EE52F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EE52F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EE52F3" w:rsidRPr="00615724" w:rsidTr="00537860">
        <w:trPr>
          <w:trHeight w:val="1849"/>
        </w:trPr>
        <w:tc>
          <w:tcPr>
            <w:tcW w:w="567" w:type="dxa"/>
            <w:vMerge/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E52F3" w:rsidRPr="00EE52F3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E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E52F3" w:rsidRPr="00EE52F3" w:rsidRDefault="00A76120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603 436,62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F3" w:rsidRPr="00EE52F3" w:rsidRDefault="00EE52F3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72</w:t>
            </w:r>
            <w:r w:rsidR="00A7612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436,62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253 091</w:t>
            </w:r>
          </w:p>
        </w:tc>
        <w:tc>
          <w:tcPr>
            <w:tcW w:w="992" w:type="dxa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277 909</w:t>
            </w:r>
          </w:p>
        </w:tc>
        <w:tc>
          <w:tcPr>
            <w:tcW w:w="851" w:type="dxa"/>
            <w:vAlign w:val="center"/>
          </w:tcPr>
          <w:p w:rsidR="00EE52F3" w:rsidRPr="00EE52F3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2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90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</w:t>
            </w:r>
            <w:r w:rsidR="0005698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0D5C0D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537860" w:rsidRPr="00615724" w:rsidRDefault="000D5C0D" w:rsidP="0005698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05698C" w:rsidRPr="00615724" w:rsidTr="0005698C">
        <w:trPr>
          <w:trHeight w:val="2070"/>
        </w:trPr>
        <w:tc>
          <w:tcPr>
            <w:tcW w:w="567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D5C0D" w:rsidP="0005698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05698C" w:rsidRDefault="000D5C0D" w:rsidP="0005698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5698C" w:rsidRPr="00615724" w:rsidTr="0005698C">
        <w:trPr>
          <w:trHeight w:val="1038"/>
        </w:trPr>
        <w:tc>
          <w:tcPr>
            <w:tcW w:w="567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D5C0D" w:rsidP="0005698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D5C0D" w:rsidP="0005698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5698C" w:rsidRPr="00615724" w:rsidTr="0005698C">
        <w:trPr>
          <w:trHeight w:val="1038"/>
        </w:trPr>
        <w:tc>
          <w:tcPr>
            <w:tcW w:w="567" w:type="dxa"/>
            <w:vMerge/>
            <w:shd w:val="clear" w:color="auto" w:fill="auto"/>
          </w:tcPr>
          <w:p w:rsidR="0005698C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5698C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698C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D5C0D" w:rsidP="0005698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5698C" w:rsidRDefault="000D5C0D" w:rsidP="0005698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5698C" w:rsidRPr="00615724" w:rsidRDefault="0005698C" w:rsidP="000569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698C" w:rsidRPr="00615724" w:rsidRDefault="0005698C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E66467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Default="000D5C0D" w:rsidP="00E66467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Default="000D5C0D" w:rsidP="00E66467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E66467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Default="000D5C0D" w:rsidP="00E66467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Default="000D5C0D" w:rsidP="00E66467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26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E6646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4227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E52F3" w:rsidRPr="00615724" w:rsidTr="00EE52F3">
        <w:trPr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EE52F3" w:rsidRPr="00615724" w:rsidRDefault="00EE52F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1.1</w:t>
            </w:r>
            <w:r w:rsidR="005D32A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EE52F3" w:rsidRDefault="000D5C0D" w:rsidP="00EE52F3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EE52F3" w:rsidRPr="00CC4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276" w:type="dxa"/>
          </w:tcPr>
          <w:p w:rsidR="00EE52F3" w:rsidRDefault="000D5C0D" w:rsidP="00EE52F3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52F3" w:rsidRPr="00CC4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002</w:t>
            </w:r>
          </w:p>
        </w:tc>
        <w:tc>
          <w:tcPr>
            <w:tcW w:w="992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52F3" w:rsidRPr="00615724" w:rsidRDefault="00EE52F3" w:rsidP="00EE52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52F3" w:rsidRPr="00615724" w:rsidRDefault="00EE52F3" w:rsidP="00EE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615724" w:rsidTr="00537860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615724" w:rsidRDefault="000D5C0D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52F3" w:rsidRP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002</w:t>
            </w:r>
          </w:p>
        </w:tc>
        <w:tc>
          <w:tcPr>
            <w:tcW w:w="1276" w:type="dxa"/>
            <w:vAlign w:val="center"/>
          </w:tcPr>
          <w:p w:rsidR="00537860" w:rsidRPr="00615724" w:rsidRDefault="000D5C0D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52F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002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A54EA" w:rsidRPr="00615724" w:rsidTr="00DE28C8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A54EA" w:rsidRPr="00615724" w:rsidRDefault="005D32A3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54EA" w:rsidRPr="00615724" w:rsidRDefault="00B615E7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4A54EA" w:rsidRPr="00615724" w:rsidTr="00537860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A54EA" w:rsidRPr="00615724" w:rsidRDefault="004A54EA" w:rsidP="004A54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54EA" w:rsidRPr="00615724" w:rsidRDefault="004A54EA" w:rsidP="004A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615724" w:rsidTr="006F5D91">
        <w:trPr>
          <w:trHeight w:val="402"/>
        </w:trPr>
        <w:tc>
          <w:tcPr>
            <w:tcW w:w="567" w:type="dxa"/>
            <w:vMerge w:val="restart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</w:t>
            </w:r>
          </w:p>
        </w:tc>
        <w:tc>
          <w:tcPr>
            <w:tcW w:w="1276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</w:t>
            </w:r>
          </w:p>
        </w:tc>
        <w:tc>
          <w:tcPr>
            <w:tcW w:w="992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615724" w:rsidTr="00BE6A5F">
        <w:trPr>
          <w:trHeight w:val="402"/>
        </w:trPr>
        <w:tc>
          <w:tcPr>
            <w:tcW w:w="567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54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354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615724" w:rsidTr="00537860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</w:t>
            </w:r>
          </w:p>
        </w:tc>
        <w:tc>
          <w:tcPr>
            <w:tcW w:w="1276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</w:t>
            </w:r>
          </w:p>
        </w:tc>
        <w:tc>
          <w:tcPr>
            <w:tcW w:w="992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615724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615724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AA70F3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AA70F3" w:rsidRPr="00615724" w:rsidRDefault="005D32A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615724" w:rsidRDefault="001066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ТУ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615724" w:rsidTr="00AA70F3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6826,00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AA70F3">
        <w:trPr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AA70F3" w:rsidRPr="00615724" w:rsidRDefault="005D32A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г.о.Красногорск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70F3" w:rsidRPr="00615724" w:rsidTr="00AA70F3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70F3" w:rsidRPr="00615724" w:rsidTr="00AA70F3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0F3" w:rsidRPr="00615724" w:rsidRDefault="00AA70F3" w:rsidP="00AA7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276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851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708" w:type="dxa"/>
            <w:vAlign w:val="center"/>
          </w:tcPr>
          <w:p w:rsidR="00AA70F3" w:rsidRPr="00615724" w:rsidRDefault="00AA70F3" w:rsidP="00AA70F3">
            <w:pPr>
              <w:jc w:val="center"/>
            </w:pPr>
            <w:r w:rsidRPr="00615724"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4046B5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E66467" w:rsidRPr="00615724" w:rsidRDefault="005D32A3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66467" w:rsidRPr="00615724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66467" w:rsidRPr="00615724" w:rsidTr="004046B5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66467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6467" w:rsidRPr="00615724" w:rsidRDefault="00E66467" w:rsidP="00E66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E66467" w:rsidRPr="00615724" w:rsidRDefault="00E66467" w:rsidP="00E664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E66467" w:rsidRPr="00615724" w:rsidRDefault="00E66467" w:rsidP="00E66467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467" w:rsidRPr="00615724" w:rsidRDefault="00E66467" w:rsidP="00E66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D5C0D" w:rsidRPr="00615724" w:rsidTr="000D5C0D">
        <w:trPr>
          <w:trHeight w:val="1266"/>
        </w:trPr>
        <w:tc>
          <w:tcPr>
            <w:tcW w:w="567" w:type="dxa"/>
            <w:vMerge w:val="restart"/>
            <w:shd w:val="clear" w:color="auto" w:fill="auto"/>
          </w:tcPr>
          <w:p w:rsidR="000D5C0D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D5C0D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D5C0D" w:rsidRPr="00615724" w:rsidRDefault="000D5C0D" w:rsidP="000D5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5C0D" w:rsidRPr="00615724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0D" w:rsidRPr="00615724" w:rsidRDefault="000D5C0D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5C0D" w:rsidRPr="00615724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C0D" w:rsidRPr="00615724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D5C0D" w:rsidRPr="00615724" w:rsidTr="004046B5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0D5C0D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D5C0D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5C0D" w:rsidRDefault="000D5C0D" w:rsidP="000D5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D5C0D" w:rsidRPr="00615724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0D" w:rsidRPr="00615724" w:rsidRDefault="000D5C0D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D5C0D" w:rsidRDefault="00A76120" w:rsidP="000D5C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0D5C0D" w:rsidRDefault="00932BB5" w:rsidP="000D5C0D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D5C0D" w:rsidRPr="00615724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C0D" w:rsidRPr="00615724" w:rsidRDefault="000D5C0D" w:rsidP="000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615724" w:rsidTr="00932BB5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:rsidR="00932BB5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32BB5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2BB5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B5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32BB5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vAlign w:val="center"/>
          </w:tcPr>
          <w:p w:rsidR="00932BB5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615724" w:rsidTr="004046B5">
        <w:trPr>
          <w:trHeight w:val="636"/>
        </w:trPr>
        <w:tc>
          <w:tcPr>
            <w:tcW w:w="567" w:type="dxa"/>
            <w:vMerge/>
            <w:shd w:val="clear" w:color="auto" w:fill="auto"/>
          </w:tcPr>
          <w:p w:rsidR="00932BB5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32BB5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2BB5" w:rsidRDefault="00932BB5" w:rsidP="00932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B5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32BB5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vAlign w:val="center"/>
          </w:tcPr>
          <w:p w:rsidR="00932BB5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32BB5" w:rsidRDefault="00932BB5" w:rsidP="00932BB5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ПАСПОРТ ПОДПРОГРАММЫ I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V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615724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615724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615724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37860" w:rsidRPr="00615724" w:rsidTr="00537860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E24BAB" w:rsidP="00E24BAB">
            <w:pPr>
              <w:spacing w:after="0" w:line="240" w:lineRule="auto"/>
              <w:ind w:hanging="108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31 887,19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3342BA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95 563,19</w:t>
            </w:r>
          </w:p>
        </w:tc>
      </w:tr>
      <w:tr w:rsidR="00E24BAB" w:rsidRPr="00615724" w:rsidTr="00537860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ind w:hanging="108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31 887,19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615724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95 563,19</w:t>
            </w: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подпрограммы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снижению эффективности оказания услуг.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ПАО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6157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en-US" w:eastAsia="ru-RU"/>
        </w:rPr>
        <w:t>IV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615724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615724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культуре, делам 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2 100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FB4" w:rsidRPr="00615724" w:rsidRDefault="00537860" w:rsidP="0091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615724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615724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615724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615724" w:rsidRDefault="00932BB5" w:rsidP="00932BB5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65 812,19</w:t>
            </w:r>
          </w:p>
        </w:tc>
        <w:tc>
          <w:tcPr>
            <w:tcW w:w="851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615724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615724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615724" w:rsidRDefault="00932BB5" w:rsidP="007C7387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65 812,19</w:t>
            </w:r>
          </w:p>
        </w:tc>
        <w:tc>
          <w:tcPr>
            <w:tcW w:w="851" w:type="dxa"/>
            <w:vAlign w:val="center"/>
          </w:tcPr>
          <w:p w:rsidR="007C7387" w:rsidRPr="00615724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615724" w:rsidRDefault="007C7387" w:rsidP="007C73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7C7387" w:rsidRPr="00615724" w:rsidRDefault="007C7387" w:rsidP="007C73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615724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замена  (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615724" w:rsidRDefault="00932BB5" w:rsidP="00932B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615724" w:rsidRDefault="00932BB5" w:rsidP="00932BB5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14 812,19</w:t>
            </w:r>
          </w:p>
        </w:tc>
        <w:tc>
          <w:tcPr>
            <w:tcW w:w="851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ind w:hanging="108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1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709" w:type="dxa"/>
            <w:vAlign w:val="center"/>
          </w:tcPr>
          <w:p w:rsidR="00932BB5" w:rsidRPr="00615724" w:rsidRDefault="00932BB5" w:rsidP="00932B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615724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615724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615724" w:rsidRDefault="00932BB5" w:rsidP="00932BB5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14 812,19</w:t>
            </w:r>
          </w:p>
        </w:tc>
        <w:tc>
          <w:tcPr>
            <w:tcW w:w="851" w:type="dxa"/>
            <w:vAlign w:val="center"/>
          </w:tcPr>
          <w:p w:rsidR="00537860" w:rsidRPr="00615724" w:rsidRDefault="00932BB5" w:rsidP="00932BB5">
            <w:pPr>
              <w:spacing w:after="0" w:line="240" w:lineRule="auto"/>
              <w:ind w:hanging="108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3 646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1 850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615724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en-US" w:eastAsia="ru-RU"/>
              </w:rPr>
              <w:t>D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615724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proofErr w:type="gramStart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Реконструкция  ВЗУ</w:t>
      </w:r>
      <w:proofErr w:type="gramEnd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 1, г. Красногорск, ул. Комсомольская, д. 2»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proofErr w:type="gramStart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Реконструкция  ВЗУ</w:t>
      </w:r>
      <w:proofErr w:type="gramEnd"/>
      <w:r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 6   г. Красногорск, д/о "Серебрянка"»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Реконструкция  ВЗУ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№  6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4046B5" w:rsidRDefault="00537860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4046B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Проектирование реконструкции</w:t>
      </w:r>
    </w:p>
    <w:p w:rsidR="00537860" w:rsidRPr="00615724" w:rsidRDefault="004046B5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B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61572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</w:t>
      </w:r>
      <w:r w:rsidR="00537860"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 </w:t>
      </w:r>
      <w:r w:rsidR="00537860"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615724" w:rsidTr="008F2992">
        <w:trPr>
          <w:jc w:val="center"/>
        </w:trPr>
        <w:tc>
          <w:tcPr>
            <w:tcW w:w="624" w:type="dxa"/>
            <w:vMerge w:val="restart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4046B5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4046B5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4046B5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615724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615724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615724" w:rsidTr="008F2992">
        <w:trPr>
          <w:jc w:val="center"/>
        </w:trPr>
        <w:tc>
          <w:tcPr>
            <w:tcW w:w="624" w:type="dxa"/>
            <w:vMerge/>
          </w:tcPr>
          <w:p w:rsidR="00C369E7" w:rsidRPr="00615724" w:rsidRDefault="00C369E7" w:rsidP="00C369E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C369E7" w:rsidRPr="00615724" w:rsidRDefault="00C369E7" w:rsidP="00C369E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C369E7" w:rsidRPr="00615724" w:rsidRDefault="00C369E7" w:rsidP="00C369E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C369E7" w:rsidRPr="00615724" w:rsidRDefault="00C369E7" w:rsidP="00C369E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615724" w:rsidRDefault="00C369E7" w:rsidP="00C369E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615724" w:rsidRDefault="00C369E7" w:rsidP="00C369E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615724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615724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615724" w:rsidTr="00CD23FE">
        <w:trPr>
          <w:jc w:val="center"/>
        </w:trPr>
        <w:tc>
          <w:tcPr>
            <w:tcW w:w="2460" w:type="dxa"/>
            <w:gridSpan w:val="2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6 221,20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615724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9E7" w:rsidRPr="00615724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92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камеры на левом берегу реки Москвы до камеры с регулирующими задвижками у пешеходного моста на правом берегу с </w:t>
      </w:r>
      <w:proofErr w:type="spell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</w:t>
      </w:r>
      <w:proofErr w:type="gramStart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переходом  через</w:t>
      </w:r>
      <w:proofErr w:type="gramEnd"/>
      <w:r w:rsidR="00363DB6" w:rsidRPr="00363DB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реку Москву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992"/>
        <w:gridCol w:w="851"/>
        <w:gridCol w:w="850"/>
        <w:gridCol w:w="709"/>
        <w:gridCol w:w="709"/>
        <w:gridCol w:w="708"/>
        <w:gridCol w:w="1423"/>
      </w:tblGrid>
      <w:tr w:rsidR="00537860" w:rsidRPr="00615724" w:rsidTr="00363DB6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37860" w:rsidRPr="00615724" w:rsidRDefault="00363DB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Реконструкц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ия канализационного коллектора 2Ф-1200 мм от КНС-1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на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левом берегу р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еки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Москвы до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камеры с регулирующими задвижками у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пешеходного моста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на правом берегу с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переходом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через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реку 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Москву</w:t>
            </w:r>
          </w:p>
        </w:tc>
        <w:tc>
          <w:tcPr>
            <w:tcW w:w="156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C36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  <w:bookmarkStart w:id="6" w:name="_GoBack"/>
            <w:bookmarkEnd w:id="6"/>
          </w:p>
        </w:tc>
        <w:tc>
          <w:tcPr>
            <w:tcW w:w="1417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1113907,17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C369E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431714,17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312 000</w:t>
            </w:r>
          </w:p>
        </w:tc>
        <w:tc>
          <w:tcPr>
            <w:tcW w:w="850" w:type="dxa"/>
            <w:vAlign w:val="center"/>
          </w:tcPr>
          <w:p w:rsidR="00537860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119714,17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363DB6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615724" w:rsidRDefault="00932BB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682 193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50" w:type="dxa"/>
            <w:vAlign w:val="center"/>
          </w:tcPr>
          <w:p w:rsidR="00537860" w:rsidRPr="00615724" w:rsidRDefault="00932BB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615724" w:rsidTr="00363DB6">
        <w:trPr>
          <w:jc w:val="center"/>
        </w:trPr>
        <w:tc>
          <w:tcPr>
            <w:tcW w:w="3397" w:type="dxa"/>
            <w:gridSpan w:val="2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E3C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369E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1113907,17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FB3E3C" w:rsidRPr="00615724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709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proofErr w:type="gramStart"/>
      <w:r w:rsidR="00E0759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3  с</w:t>
      </w:r>
      <w:proofErr w:type="gramEnd"/>
      <w:r w:rsidR="00E0759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последующим его демонтажем по адресу:  пос. Архангельское, г. о. Красногорск (в том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46E9" w:rsidRPr="00615724" w:rsidTr="00E0759B">
        <w:trPr>
          <w:jc w:val="center"/>
        </w:trPr>
        <w:tc>
          <w:tcPr>
            <w:tcW w:w="624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и выводом из эксплуатации ЦТП №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615724" w:rsidTr="00F67C93">
        <w:trPr>
          <w:jc w:val="center"/>
        </w:trPr>
        <w:tc>
          <w:tcPr>
            <w:tcW w:w="62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987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522,35</w:t>
            </w:r>
          </w:p>
        </w:tc>
        <w:tc>
          <w:tcPr>
            <w:tcW w:w="850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615724" w:rsidTr="00F67C93">
        <w:trPr>
          <w:jc w:val="center"/>
        </w:trPr>
        <w:tc>
          <w:tcPr>
            <w:tcW w:w="62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615724" w:rsidRDefault="00AD46E9" w:rsidP="00AD46E9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987" w:type="dxa"/>
            <w:vAlign w:val="center"/>
          </w:tcPr>
          <w:p w:rsidR="00AD46E9" w:rsidRPr="00615724" w:rsidRDefault="00AD46E9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51 712,92</w:t>
            </w:r>
          </w:p>
        </w:tc>
        <w:tc>
          <w:tcPr>
            <w:tcW w:w="850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615724" w:rsidTr="00537860">
        <w:trPr>
          <w:jc w:val="center"/>
        </w:trPr>
        <w:tc>
          <w:tcPr>
            <w:tcW w:w="2460" w:type="dxa"/>
            <w:gridSpan w:val="2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52 235,27</w:t>
            </w:r>
          </w:p>
        </w:tc>
        <w:tc>
          <w:tcPr>
            <w:tcW w:w="850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615724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Реконструкция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(в том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Красногорск, 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615724" w:rsidTr="00537860">
        <w:trPr>
          <w:jc w:val="center"/>
        </w:trPr>
        <w:tc>
          <w:tcPr>
            <w:tcW w:w="62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480 274,93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480 274,93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537860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4 802,93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4 802,93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537860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475 472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475 472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537860">
        <w:trPr>
          <w:jc w:val="center"/>
        </w:trPr>
        <w:tc>
          <w:tcPr>
            <w:tcW w:w="2460" w:type="dxa"/>
            <w:gridSpan w:val="2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AA70F3" w:rsidRPr="00615724" w:rsidRDefault="00AA70F3" w:rsidP="00AA70F3">
            <w:pPr>
              <w:spacing w:after="0" w:line="240" w:lineRule="auto"/>
              <w:ind w:hanging="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800 274,93</w:t>
            </w:r>
          </w:p>
        </w:tc>
        <w:tc>
          <w:tcPr>
            <w:tcW w:w="987" w:type="dxa"/>
            <w:shd w:val="clear" w:color="auto" w:fill="auto"/>
          </w:tcPr>
          <w:p w:rsidR="00AA70F3" w:rsidRPr="00615724" w:rsidRDefault="00AA70F3" w:rsidP="00AA70F3">
            <w:pPr>
              <w:spacing w:after="0" w:line="240" w:lineRule="auto"/>
              <w:ind w:hanging="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480 274,93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615724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615724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615724" w:rsidTr="00DE28C8">
        <w:trPr>
          <w:jc w:val="center"/>
        </w:trPr>
        <w:tc>
          <w:tcPr>
            <w:tcW w:w="62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85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DE28C8">
        <w:trPr>
          <w:jc w:val="center"/>
        </w:trPr>
        <w:tc>
          <w:tcPr>
            <w:tcW w:w="62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987" w:type="dxa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3 537,43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DE28C8">
        <w:trPr>
          <w:jc w:val="center"/>
        </w:trPr>
        <w:tc>
          <w:tcPr>
            <w:tcW w:w="62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D32A3" w:rsidRPr="00615724" w:rsidRDefault="005D32A3" w:rsidP="005D32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3" w:rsidRPr="00615724" w:rsidRDefault="005D32A3" w:rsidP="005D3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350 223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2A3" w:rsidRPr="00615724" w:rsidTr="00F67C93">
        <w:trPr>
          <w:jc w:val="center"/>
        </w:trPr>
        <w:tc>
          <w:tcPr>
            <w:tcW w:w="2460" w:type="dxa"/>
            <w:gridSpan w:val="2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5D32A3" w:rsidRDefault="005D32A3" w:rsidP="005D32A3">
            <w:pPr>
              <w:ind w:hanging="62"/>
            </w:pPr>
            <w:r w:rsidRPr="002C75B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987" w:type="dxa"/>
            <w:shd w:val="clear" w:color="auto" w:fill="auto"/>
          </w:tcPr>
          <w:p w:rsidR="005D32A3" w:rsidRDefault="005D32A3" w:rsidP="005D32A3">
            <w:pPr>
              <w:ind w:hanging="62"/>
            </w:pPr>
            <w:r w:rsidRPr="002C75BB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353 760,43</w:t>
            </w:r>
          </w:p>
        </w:tc>
        <w:tc>
          <w:tcPr>
            <w:tcW w:w="850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615724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615724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proofErr w:type="gram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адресу: 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г.о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.</w:t>
      </w:r>
      <w:proofErr w:type="gram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615724" w:rsidTr="00DE28C8">
        <w:trPr>
          <w:jc w:val="center"/>
        </w:trPr>
        <w:tc>
          <w:tcPr>
            <w:tcW w:w="62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6 050,50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39 600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Реконструкции </w:t>
      </w:r>
      <w:proofErr w:type="gramStart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наружных  канализационных</w:t>
      </w:r>
      <w:proofErr w:type="gramEnd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 сетей, по адресу:  </w:t>
      </w:r>
      <w:proofErr w:type="spellStart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</w:t>
      </w:r>
      <w:proofErr w:type="spellEnd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. Красногорск, пос. Архангельское, территория музея -  усадьбы "Архангельское" и прилегающая территория. (</w:t>
      </w:r>
      <w:proofErr w:type="gramStart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в  том</w:t>
      </w:r>
      <w:proofErr w:type="gramEnd"/>
      <w:r w:rsidR="00DE28C8"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числе ПИР)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615724" w:rsidTr="00DE28C8">
        <w:trPr>
          <w:jc w:val="center"/>
        </w:trPr>
        <w:tc>
          <w:tcPr>
            <w:tcW w:w="62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615724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8 036,30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DE28C8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34 650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2460" w:type="dxa"/>
            <w:gridSpan w:val="2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850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615724" w:rsidTr="00537860">
        <w:trPr>
          <w:jc w:val="center"/>
        </w:trPr>
        <w:tc>
          <w:tcPr>
            <w:tcW w:w="62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615724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615724" w:rsidTr="005D32A3">
        <w:trPr>
          <w:jc w:val="center"/>
        </w:trPr>
        <w:tc>
          <w:tcPr>
            <w:tcW w:w="62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5D32A3" w:rsidRDefault="00FB3E3C" w:rsidP="005D32A3">
            <w:pPr>
              <w:jc w:val="center"/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Default="00FB3E3C" w:rsidP="005D32A3">
            <w:pPr>
              <w:jc w:val="center"/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615724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615724" w:rsidTr="00537860">
        <w:trPr>
          <w:jc w:val="center"/>
        </w:trPr>
        <w:tc>
          <w:tcPr>
            <w:tcW w:w="62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615724" w:rsidRDefault="00537860" w:rsidP="0053786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615724" w:rsidRDefault="00FB3E3C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615724" w:rsidRDefault="00FB3E3C" w:rsidP="005378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615724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615724" w:rsidTr="005D32A3">
        <w:trPr>
          <w:jc w:val="center"/>
        </w:trPr>
        <w:tc>
          <w:tcPr>
            <w:tcW w:w="2460" w:type="dxa"/>
            <w:gridSpan w:val="2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FB3E3C" w:rsidRDefault="00FB3E3C" w:rsidP="00FB3E3C">
            <w:r w:rsidRPr="00953E8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Default="00FB3E3C" w:rsidP="00FB3E3C">
            <w:r w:rsidRPr="00953E8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615724" w:rsidRDefault="00FB3E3C" w:rsidP="00FB3E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615724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615724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615724" w:rsidRDefault="0013315E"/>
    <w:p w:rsidR="00DE28C8" w:rsidRPr="00615724" w:rsidRDefault="00DE28C8"/>
    <w:p w:rsidR="00DE28C8" w:rsidRPr="00615724" w:rsidRDefault="00DE28C8"/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Проектирование и строительство сетей водоснабжения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DE28C8" w:rsidRPr="00615724" w:rsidTr="00DE28C8">
        <w:trPr>
          <w:jc w:val="center"/>
        </w:trPr>
        <w:tc>
          <w:tcPr>
            <w:tcW w:w="62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E28C8" w:rsidRPr="00615724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615724" w:rsidTr="00DE28C8">
        <w:trPr>
          <w:jc w:val="center"/>
        </w:trPr>
        <w:tc>
          <w:tcPr>
            <w:tcW w:w="62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615724" w:rsidRDefault="00DE28C8" w:rsidP="00DE28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615724" w:rsidTr="00DE28C8">
        <w:trPr>
          <w:jc w:val="center"/>
        </w:trPr>
        <w:tc>
          <w:tcPr>
            <w:tcW w:w="2460" w:type="dxa"/>
            <w:gridSpan w:val="2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615724" w:rsidRDefault="00DE28C8" w:rsidP="00DE28C8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615724" w:rsidRDefault="00DE28C8" w:rsidP="00DE28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615724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615724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615724" w:rsidRDefault="00DE28C8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/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»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615724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7851FB" w:rsidRPr="00615724" w:rsidTr="00F67C93">
        <w:trPr>
          <w:jc w:val="center"/>
        </w:trPr>
        <w:tc>
          <w:tcPr>
            <w:tcW w:w="624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7851FB" w:rsidRPr="00615724" w:rsidRDefault="007851FB" w:rsidP="00F67C9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615724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615724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615724" w:rsidTr="00F67C93">
        <w:trPr>
          <w:jc w:val="center"/>
        </w:trPr>
        <w:tc>
          <w:tcPr>
            <w:tcW w:w="624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615724" w:rsidRDefault="007851FB" w:rsidP="007851F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615724" w:rsidTr="00F67C93">
        <w:trPr>
          <w:jc w:val="center"/>
        </w:trPr>
        <w:tc>
          <w:tcPr>
            <w:tcW w:w="2460" w:type="dxa"/>
            <w:gridSpan w:val="2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987" w:type="dxa"/>
            <w:shd w:val="clear" w:color="auto" w:fill="auto"/>
          </w:tcPr>
          <w:p w:rsidR="007851FB" w:rsidRPr="00615724" w:rsidRDefault="007851FB" w:rsidP="007851FB">
            <w:pPr>
              <w:rPr>
                <w:rFonts w:ascii="Times New Roman" w:hAnsi="Times New Roman" w:cs="Times New Roman"/>
              </w:rPr>
            </w:pPr>
            <w:r w:rsidRPr="00615724">
              <w:rPr>
                <w:rFonts w:ascii="Times New Roman" w:hAnsi="Times New Roman" w:cs="Times New Roman"/>
              </w:rPr>
              <w:t>6 826,00</w:t>
            </w:r>
          </w:p>
        </w:tc>
        <w:tc>
          <w:tcPr>
            <w:tcW w:w="850" w:type="dxa"/>
            <w:vAlign w:val="center"/>
          </w:tcPr>
          <w:p w:rsidR="007851FB" w:rsidRPr="00615724" w:rsidRDefault="007851FB" w:rsidP="007851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615724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615724" w:rsidRDefault="007851FB"/>
    <w:p w:rsidR="007851FB" w:rsidRPr="00615724" w:rsidRDefault="007851FB"/>
    <w:p w:rsidR="00AA70F3" w:rsidRPr="00615724" w:rsidRDefault="00AA70F3"/>
    <w:p w:rsidR="00AA70F3" w:rsidRPr="00615724" w:rsidRDefault="00AA70F3"/>
    <w:p w:rsidR="00AA70F3" w:rsidRPr="00615724" w:rsidRDefault="00AA70F3"/>
    <w:p w:rsidR="00AA70F3" w:rsidRPr="00615724" w:rsidRDefault="00AA70F3"/>
    <w:p w:rsidR="00AA70F3" w:rsidRPr="00615724" w:rsidRDefault="00AA70F3"/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6157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1.23 «Р</w:t>
      </w:r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еконструкция тепловых сетей отопления и горячего водоснабжения по адресу: </w:t>
      </w:r>
      <w:proofErr w:type="spellStart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6157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1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615724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AA70F3" w:rsidRPr="00615724" w:rsidTr="007A05A3">
        <w:trPr>
          <w:jc w:val="center"/>
        </w:trPr>
        <w:tc>
          <w:tcPr>
            <w:tcW w:w="62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7A05A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615724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61572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</w:t>
            </w:r>
          </w:p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3 200</w:t>
            </w:r>
          </w:p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615724" w:rsidTr="007A05A3">
        <w:trPr>
          <w:jc w:val="center"/>
        </w:trPr>
        <w:tc>
          <w:tcPr>
            <w:tcW w:w="62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615724" w:rsidRDefault="00AA70F3" w:rsidP="00AA70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850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537860" w:rsidTr="007A05A3">
        <w:trPr>
          <w:jc w:val="center"/>
        </w:trPr>
        <w:tc>
          <w:tcPr>
            <w:tcW w:w="2460" w:type="dxa"/>
            <w:gridSpan w:val="2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615724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850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615724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537860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537860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537860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Default="00AA70F3"/>
    <w:sectPr w:rsidR="00AA70F3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15EAA"/>
    <w:rsid w:val="0005698C"/>
    <w:rsid w:val="000A7466"/>
    <w:rsid w:val="000B4670"/>
    <w:rsid w:val="000D122E"/>
    <w:rsid w:val="000D5C0D"/>
    <w:rsid w:val="001066FB"/>
    <w:rsid w:val="0013315E"/>
    <w:rsid w:val="0018424E"/>
    <w:rsid w:val="00193547"/>
    <w:rsid w:val="001B224F"/>
    <w:rsid w:val="002458AB"/>
    <w:rsid w:val="00263ADF"/>
    <w:rsid w:val="002B3404"/>
    <w:rsid w:val="003342BA"/>
    <w:rsid w:val="00363DB6"/>
    <w:rsid w:val="003C396A"/>
    <w:rsid w:val="003D6C8B"/>
    <w:rsid w:val="004046B5"/>
    <w:rsid w:val="00467904"/>
    <w:rsid w:val="00472340"/>
    <w:rsid w:val="00495CE7"/>
    <w:rsid w:val="004A54EA"/>
    <w:rsid w:val="004D5FF7"/>
    <w:rsid w:val="00537860"/>
    <w:rsid w:val="0059489C"/>
    <w:rsid w:val="005D32A3"/>
    <w:rsid w:val="005D352F"/>
    <w:rsid w:val="00615724"/>
    <w:rsid w:val="006238A7"/>
    <w:rsid w:val="00631B5A"/>
    <w:rsid w:val="00691D56"/>
    <w:rsid w:val="006B321E"/>
    <w:rsid w:val="006F23F4"/>
    <w:rsid w:val="006F5D91"/>
    <w:rsid w:val="00730F92"/>
    <w:rsid w:val="007506D2"/>
    <w:rsid w:val="007851FB"/>
    <w:rsid w:val="007A05A3"/>
    <w:rsid w:val="007A12FA"/>
    <w:rsid w:val="007C7387"/>
    <w:rsid w:val="007D54B2"/>
    <w:rsid w:val="007F7C04"/>
    <w:rsid w:val="00824871"/>
    <w:rsid w:val="008459D5"/>
    <w:rsid w:val="008645B2"/>
    <w:rsid w:val="00894EC8"/>
    <w:rsid w:val="008B763B"/>
    <w:rsid w:val="008F2992"/>
    <w:rsid w:val="00914FB4"/>
    <w:rsid w:val="00932BB5"/>
    <w:rsid w:val="00A00BB2"/>
    <w:rsid w:val="00A44729"/>
    <w:rsid w:val="00A62AFD"/>
    <w:rsid w:val="00A76120"/>
    <w:rsid w:val="00A85FA5"/>
    <w:rsid w:val="00AA424D"/>
    <w:rsid w:val="00AA70F3"/>
    <w:rsid w:val="00AD46E9"/>
    <w:rsid w:val="00B15513"/>
    <w:rsid w:val="00B615E7"/>
    <w:rsid w:val="00B95B1A"/>
    <w:rsid w:val="00BE6A5F"/>
    <w:rsid w:val="00C369E7"/>
    <w:rsid w:val="00D02FCE"/>
    <w:rsid w:val="00DE28C8"/>
    <w:rsid w:val="00DF6A80"/>
    <w:rsid w:val="00E0759B"/>
    <w:rsid w:val="00E24BAB"/>
    <w:rsid w:val="00E66467"/>
    <w:rsid w:val="00E72238"/>
    <w:rsid w:val="00EE52F3"/>
    <w:rsid w:val="00F4570E"/>
    <w:rsid w:val="00F67C93"/>
    <w:rsid w:val="00F77944"/>
    <w:rsid w:val="00FA2DBB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12597</Words>
  <Characters>71806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2018-09-04T11:21:00Z</cp:lastPrinted>
  <dcterms:created xsi:type="dcterms:W3CDTF">2018-03-28T14:30:00Z</dcterms:created>
  <dcterms:modified xsi:type="dcterms:W3CDTF">2018-09-04T11:28:00Z</dcterms:modified>
</cp:coreProperties>
</file>