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72" w:rsidRDefault="00FA264E" w:rsidP="00FA264E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</w:t>
      </w:r>
    </w:p>
    <w:p w:rsidR="00FA264E" w:rsidRDefault="00FA264E" w:rsidP="00FA264E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FA264E" w:rsidRDefault="00FA264E" w:rsidP="00FA264E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                                                                                      городского округа Красногорск</w:t>
      </w:r>
    </w:p>
    <w:p w:rsidR="00FA264E" w:rsidRDefault="00FA264E" w:rsidP="00FA264E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                                                                                      Московской области</w:t>
      </w:r>
    </w:p>
    <w:p w:rsidR="00FA264E" w:rsidRPr="00FA264E" w:rsidRDefault="00FA264E" w:rsidP="00FA264E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B527F">
        <w:rPr>
          <w:rStyle w:val="blk"/>
          <w:rFonts w:ascii="Times New Roman" w:hAnsi="Times New Roman"/>
          <w:sz w:val="24"/>
          <w:szCs w:val="24"/>
        </w:rPr>
        <w:t xml:space="preserve">                 от 10.12.2019 № 3090/12</w:t>
      </w: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9A54EE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A264E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FA264E">
        <w:rPr>
          <w:b/>
        </w:rPr>
        <w:t>городского округа Красногорск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8D24D7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03572A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D24D7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03572A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03572A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03572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03572A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03572A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03572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03572A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9"/>
          <w:footerReference w:type="default" r:id="rId10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FA264E">
        <w:rPr>
          <w:sz w:val="24"/>
          <w:szCs w:val="24"/>
        </w:rPr>
        <w:t>городского округа Красногорск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uslugi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mosreg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1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Default="00C81D34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81D34">
        <w:rPr>
          <w:sz w:val="24"/>
          <w:szCs w:val="24"/>
        </w:rPr>
        <w:t>1.4.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</w:t>
      </w:r>
      <w:r>
        <w:rPr>
          <w:sz w:val="24"/>
          <w:szCs w:val="24"/>
        </w:rPr>
        <w:t>.</w:t>
      </w:r>
    </w:p>
    <w:p w:rsidR="00C81D34" w:rsidRPr="00C81D34" w:rsidRDefault="00C81D34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0" w:name="_Toc510616991"/>
      <w:bookmarkStart w:id="11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 xml:space="preserve"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</w:t>
      </w:r>
      <w:r w:rsidR="00132660" w:rsidRPr="00613DDD">
        <w:rPr>
          <w:sz w:val="24"/>
          <w:szCs w:val="24"/>
          <w:shd w:val="clear" w:color="auto" w:fill="FFFFFF"/>
        </w:rPr>
        <w:lastRenderedPageBreak/>
        <w:t>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 w:rsidP="00FA264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FA264E">
        <w:rPr>
          <w:sz w:val="24"/>
          <w:szCs w:val="24"/>
        </w:rPr>
        <w:t xml:space="preserve"> </w:t>
      </w:r>
      <w:hyperlink r:id="rId12" w:history="1">
        <w:r w:rsidR="00FA264E" w:rsidRPr="00481A34">
          <w:rPr>
            <w:rStyle w:val="a7"/>
            <w:sz w:val="24"/>
            <w:szCs w:val="24"/>
            <w:lang w:val="en-US"/>
          </w:rPr>
          <w:t>www</w:t>
        </w:r>
        <w:r w:rsidR="00FA264E" w:rsidRPr="00481A34">
          <w:rPr>
            <w:rStyle w:val="a7"/>
            <w:sz w:val="24"/>
            <w:szCs w:val="24"/>
          </w:rPr>
          <w:t>.</w:t>
        </w:r>
        <w:r w:rsidR="00FA264E" w:rsidRPr="00481A34">
          <w:rPr>
            <w:rStyle w:val="a7"/>
            <w:sz w:val="24"/>
            <w:szCs w:val="24"/>
            <w:lang w:val="en-US"/>
          </w:rPr>
          <w:t>krasnogorsk</w:t>
        </w:r>
        <w:r w:rsidR="00FA264E" w:rsidRPr="00481A34">
          <w:rPr>
            <w:rStyle w:val="a7"/>
            <w:sz w:val="24"/>
            <w:szCs w:val="24"/>
          </w:rPr>
          <w:t>-</w:t>
        </w:r>
        <w:r w:rsidR="00FA264E" w:rsidRPr="00481A34">
          <w:rPr>
            <w:rStyle w:val="a7"/>
            <w:sz w:val="24"/>
            <w:szCs w:val="24"/>
            <w:lang w:val="en-US"/>
          </w:rPr>
          <w:t>adm</w:t>
        </w:r>
        <w:r w:rsidR="00FA264E" w:rsidRPr="00481A34">
          <w:rPr>
            <w:rStyle w:val="a7"/>
            <w:sz w:val="24"/>
            <w:szCs w:val="24"/>
          </w:rPr>
          <w:t>.</w:t>
        </w:r>
        <w:r w:rsidR="00FA264E" w:rsidRPr="00481A34">
          <w:rPr>
            <w:rStyle w:val="a7"/>
            <w:sz w:val="24"/>
            <w:szCs w:val="24"/>
            <w:lang w:val="en-US"/>
          </w:rPr>
          <w:t>ru</w:t>
        </w:r>
      </w:hyperlink>
      <w:r w:rsidRPr="00613DDD">
        <w:rPr>
          <w:sz w:val="24"/>
          <w:szCs w:val="24"/>
        </w:rPr>
        <w:t>,</w:t>
      </w:r>
      <w:r w:rsidR="00FA264E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FA264E">
        <w:rPr>
          <w:sz w:val="24"/>
          <w:szCs w:val="24"/>
        </w:rPr>
        <w:t>городского округа Красногорск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A264E" w:rsidRDefault="00FA264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A264E" w:rsidRPr="00613DDD" w:rsidRDefault="00FA264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04717A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структурные подразделения </w:t>
      </w:r>
      <w:r w:rsidR="00A76C94" w:rsidRPr="0004717A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04717A">
        <w:rPr>
          <w:sz w:val="24"/>
          <w:szCs w:val="24"/>
        </w:rPr>
        <w:t>–</w:t>
      </w:r>
      <w:r w:rsidR="00FA264E" w:rsidRPr="0004717A">
        <w:rPr>
          <w:sz w:val="24"/>
          <w:szCs w:val="24"/>
        </w:rPr>
        <w:t xml:space="preserve"> отдел потребительского рынка и услуг </w:t>
      </w:r>
      <w:r w:rsidR="0004717A">
        <w:rPr>
          <w:sz w:val="24"/>
          <w:szCs w:val="24"/>
        </w:rPr>
        <w:t>управления по безопасности и работе с потребительским рынком</w:t>
      </w:r>
      <w:r w:rsidR="005A6172" w:rsidRPr="0004717A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345C28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5.6</w:t>
      </w:r>
      <w:r w:rsidR="00825B2D">
        <w:rPr>
          <w:rFonts w:ascii="Times New Roman" w:hAnsi="Times New Roman"/>
          <w:sz w:val="24"/>
          <w:szCs w:val="24"/>
          <w:lang w:eastAsia="ar-SA"/>
        </w:rPr>
        <w:t xml:space="preserve">. Администрации и МФЦ запрещено требовать от Заявителя осуществления действий, в том числе согласований, необходимых для получения </w:t>
      </w:r>
      <w:r w:rsidR="00825B2D">
        <w:rPr>
          <w:rFonts w:ascii="Times New Roman" w:hAnsi="Times New Roman"/>
          <w:sz w:val="24"/>
          <w:szCs w:val="24"/>
        </w:rPr>
        <w:t>Муниципальной</w:t>
      </w:r>
      <w:r w:rsidR="00825B2D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 w:rsidR="00825B2D"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 w:rsidR="00825B2D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 w:rsidR="00825B2D"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345C2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5.7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345C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 xml:space="preserve">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345C28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345C28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2E06BA" w:rsidRDefault="00345C28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4</w:t>
      </w:r>
      <w:r w:rsidR="001472F3"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2E06BA">
        <w:rPr>
          <w:sz w:val="24"/>
          <w:szCs w:val="24"/>
        </w:rPr>
        <w:t xml:space="preserve">Управлением по безопасности и работе с потребительским рынком </w:t>
      </w:r>
      <w:r w:rsidR="002E06BA" w:rsidRPr="002E06BA">
        <w:rPr>
          <w:sz w:val="24"/>
          <w:szCs w:val="24"/>
        </w:rPr>
        <w:t xml:space="preserve">Администрации </w:t>
      </w:r>
      <w:r w:rsidR="00A3415D" w:rsidRPr="002E06BA">
        <w:rPr>
          <w:sz w:val="24"/>
          <w:szCs w:val="24"/>
        </w:rPr>
        <w:t>- по вопросам согласования планируемой к установке рекламной конструкции.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Pr="00A0026F" w:rsidRDefault="00401421" w:rsidP="00A0026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="00A0026F">
        <w:rPr>
          <w:sz w:val="24"/>
          <w:szCs w:val="24"/>
          <w:lang w:eastAsia="ar-SA"/>
        </w:rPr>
        <w:t xml:space="preserve"> в разделе Деятельность/Потребительский рынок и реклама/Документы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01421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A0026F" w:rsidRDefault="00A0026F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A0026F" w:rsidRPr="00613DDD" w:rsidRDefault="00A0026F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>Список документов, обязательных</w:t>
      </w:r>
      <w:r w:rsidR="002E06BA">
        <w:rPr>
          <w:sz w:val="24"/>
          <w:szCs w:val="24"/>
        </w:rPr>
        <w:t xml:space="preserve"> для предоставления Заявителем </w:t>
      </w:r>
      <w:r w:rsidR="008718C8" w:rsidRPr="00613DDD">
        <w:rPr>
          <w:sz w:val="24"/>
          <w:szCs w:val="24"/>
        </w:rPr>
        <w:t xml:space="preserve">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F06667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5216FC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476249</wp:posOffset>
                </wp:positionV>
                <wp:extent cx="1579880" cy="0"/>
                <wp:effectExtent l="0" t="0" r="20320" b="19050"/>
                <wp:wrapNone/>
                <wp:docPr id="9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DD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180.8pt;margin-top:37.5pt;width:124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HYIAIAAD4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"/>
            </w:pict>
          </mc:Fallback>
        </mc:AlternateContent>
      </w:r>
      <w:r w:rsidR="009112D1"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="009112D1"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="009112D1"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и</w:t>
      </w:r>
      <w:r w:rsidR="002E06BA">
        <w:rPr>
          <w:sz w:val="24"/>
          <w:szCs w:val="24"/>
        </w:rPr>
        <w:t xml:space="preserve"> управлением по безопасности и работе с потребительским рынком Администрации.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2E06BA">
        <w:rPr>
          <w:rFonts w:ascii="Times New Roman" w:hAnsi="Times New Roman"/>
          <w:sz w:val="24"/>
          <w:szCs w:val="24"/>
        </w:rPr>
        <w:t xml:space="preserve"> или информацию, подлежи</w:t>
      </w:r>
      <w:r w:rsidR="00786A06" w:rsidRPr="00613DDD">
        <w:rPr>
          <w:rFonts w:ascii="Times New Roman" w:hAnsi="Times New Roman"/>
          <w:sz w:val="24"/>
          <w:szCs w:val="24"/>
        </w:rPr>
        <w:t>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79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0" w:name="_Toc510617003"/>
      <w:bookmarkStart w:id="81" w:name="_Toc530579160"/>
      <w:bookmarkEnd w:id="76"/>
      <w:bookmarkEnd w:id="77"/>
      <w:bookmarkEnd w:id="78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0"/>
      <w:bookmarkEnd w:id="81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 xml:space="preserve">Нарушение требований, установленных </w:t>
      </w:r>
      <w:r w:rsidR="00902406" w:rsidRPr="00902406">
        <w:rPr>
          <w:sz w:val="24"/>
          <w:szCs w:val="24"/>
        </w:rPr>
        <w:t>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</w:t>
      </w:r>
      <w:r w:rsidR="00902406">
        <w:rPr>
          <w:sz w:val="24"/>
          <w:szCs w:val="24"/>
        </w:rPr>
        <w:t xml:space="preserve"> </w:t>
      </w:r>
      <w:r w:rsidRPr="00613DDD">
        <w:rPr>
          <w:rFonts w:eastAsia="Times New Roman"/>
          <w:sz w:val="24"/>
          <w:szCs w:val="24"/>
        </w:rPr>
        <w:t>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</w:t>
      </w:r>
      <w:r w:rsidRPr="00613DDD">
        <w:rPr>
          <w:sz w:val="24"/>
          <w:szCs w:val="24"/>
        </w:rPr>
        <w:lastRenderedPageBreak/>
        <w:t>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6" w:name="_Toc510617005"/>
      <w:bookmarkStart w:id="97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8" w:name="_Toc510617006"/>
      <w:bookmarkStart w:id="99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 xml:space="preserve">в соответствии с </w:t>
      </w:r>
      <w:r w:rsidR="00477DCC" w:rsidRPr="00BB71CE">
        <w:rPr>
          <w:color w:val="00000A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 xml:space="preserve">, </w:t>
      </w:r>
      <w:r w:rsidR="00477DCC">
        <w:rPr>
          <w:sz w:val="24"/>
          <w:szCs w:val="24"/>
          <w:lang w:eastAsia="zh-CN"/>
        </w:rPr>
        <w:lastRenderedPageBreak/>
        <w:t>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 w:rsidRPr="00613DDD"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345C28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7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2" w:name="_Toc510617011"/>
      <w:bookmarkStart w:id="163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</w:t>
      </w:r>
      <w:r w:rsidR="00256E48" w:rsidRPr="00613DDD">
        <w:rPr>
          <w:sz w:val="24"/>
          <w:szCs w:val="24"/>
        </w:rPr>
        <w:t>xml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256E48" w:rsidRPr="00613DDD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256E48" w:rsidRPr="00613DDD">
        <w:rPr>
          <w:sz w:val="24"/>
          <w:szCs w:val="24"/>
        </w:rPr>
        <w:t>xls, xlsx, ods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256E48" w:rsidRPr="00613DDD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lastRenderedPageBreak/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lastRenderedPageBreak/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05C5C">
        <w:rPr>
          <w:sz w:val="24"/>
          <w:szCs w:val="24"/>
        </w:rPr>
        <w:t>10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2A2310" w:rsidRDefault="002A2310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BB71CE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следующем порядке</w:t>
      </w:r>
      <w:r w:rsidR="00E05C5C">
        <w:rPr>
          <w:sz w:val="24"/>
          <w:szCs w:val="24"/>
        </w:rPr>
        <w:t>:</w:t>
      </w:r>
    </w:p>
    <w:p w:rsidR="00E05C5C" w:rsidRPr="00E05C5C" w:rsidRDefault="00E05C5C" w:rsidP="00E05C5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C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</w:t>
      </w:r>
      <w:r w:rsidRPr="00E05C5C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почте, электронной почте) с заявлением о необходимости исправления опечаток и ошибок, которое содержит их описание. </w:t>
      </w:r>
    </w:p>
    <w:p w:rsidR="00E05C5C" w:rsidRPr="00E05C5C" w:rsidRDefault="00E05C5C" w:rsidP="00E05C5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C">
        <w:rPr>
          <w:rFonts w:ascii="Times New Roman" w:hAnsi="Times New Roman"/>
          <w:color w:val="000000"/>
          <w:sz w:val="24"/>
          <w:szCs w:val="24"/>
        </w:rPr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</w:t>
      </w:r>
      <w:r>
        <w:rPr>
          <w:rFonts w:ascii="Times New Roman" w:hAnsi="Times New Roman"/>
          <w:color w:val="000000"/>
          <w:sz w:val="24"/>
          <w:szCs w:val="24"/>
        </w:rPr>
        <w:t xml:space="preserve">ковской области (далее – ГУИП) </w:t>
      </w:r>
      <w:r w:rsidRPr="00E05C5C">
        <w:rPr>
          <w:rFonts w:ascii="Times New Roman" w:hAnsi="Times New Roman"/>
          <w:color w:val="000000"/>
          <w:sz w:val="24"/>
          <w:szCs w:val="24"/>
        </w:rPr>
        <w:t>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E05C5C" w:rsidRPr="00E05C5C" w:rsidRDefault="00E05C5C" w:rsidP="00E05C5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5C5C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E05C5C" w:rsidRPr="00E05C5C" w:rsidRDefault="00E05C5C" w:rsidP="00E05C5C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E05C5C">
        <w:rPr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2" w:name="_Toc438727100"/>
      <w:bookmarkStart w:id="183" w:name="_Toc510617015"/>
      <w:bookmarkStart w:id="184" w:name="_Toc530579172"/>
      <w:bookmarkStart w:id="185" w:name="_Toc437973305"/>
      <w:bookmarkStart w:id="186" w:name="_Toc438110047"/>
      <w:bookmarkStart w:id="187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2"/>
      <w:bookmarkEnd w:id="183"/>
      <w:bookmarkEnd w:id="184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8" w:name="_Toc530579173"/>
      <w:bookmarkStart w:id="189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8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0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  <w:bookmarkEnd w:id="190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E05C5C" w:rsidRPr="00613DDD" w:rsidRDefault="00E05C5C" w:rsidP="00CB527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1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1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2" w:name="_Toc438376255"/>
      <w:bookmarkStart w:id="193" w:name="_Toc438727104"/>
      <w:bookmarkStart w:id="194" w:name="_Toc510617019"/>
      <w:bookmarkStart w:id="195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2"/>
      <w:bookmarkEnd w:id="193"/>
      <w:bookmarkEnd w:id="194"/>
      <w:bookmarkEnd w:id="195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6" w:name="_Hlk20901000"/>
      <w:bookmarkStart w:id="197" w:name="_Toc510617020"/>
      <w:bookmarkStart w:id="198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6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</w:t>
      </w:r>
      <w:r w:rsidR="00145D22">
        <w:rPr>
          <w:rFonts w:ascii="Times New Roman" w:hAnsi="Times New Roman"/>
          <w:sz w:val="24"/>
          <w:szCs w:val="24"/>
          <w:lang w:eastAsia="ar-SA"/>
        </w:rPr>
        <w:t>случаев, указанных в пункте 10.5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145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</w:t>
      </w:r>
      <w:r w:rsidR="00537F16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199" w:name="p112"/>
      <w:bookmarkEnd w:id="199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="00E42979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28.9.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0" w:name="p129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1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1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Приложение1"/>
      <w:bookmarkStart w:id="210" w:name="_Toc510617022"/>
      <w:bookmarkStart w:id="211" w:name="_Toc530579179"/>
      <w:bookmarkEnd w:id="185"/>
      <w:bookmarkEnd w:id="186"/>
      <w:bookmarkEnd w:id="187"/>
      <w:bookmarkEnd w:id="197"/>
      <w:bookmarkEnd w:id="198"/>
      <w:bookmarkEnd w:id="204"/>
      <w:bookmarkEnd w:id="205"/>
      <w:bookmarkEnd w:id="206"/>
      <w:bookmarkEnd w:id="207"/>
      <w:bookmarkEnd w:id="208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Default="00CC7CED">
      <w:pPr>
        <w:pStyle w:val="2-"/>
      </w:pPr>
    </w:p>
    <w:p w:rsidR="00CB527F" w:rsidRDefault="00CB527F">
      <w:pPr>
        <w:pStyle w:val="2-"/>
      </w:pPr>
    </w:p>
    <w:p w:rsidR="00CB527F" w:rsidRDefault="00CB527F">
      <w:pPr>
        <w:pStyle w:val="2-"/>
      </w:pPr>
    </w:p>
    <w:p w:rsidR="00CB527F" w:rsidRDefault="00CB527F">
      <w:pPr>
        <w:pStyle w:val="2-"/>
      </w:pPr>
    </w:p>
    <w:p w:rsidR="00CB527F" w:rsidRDefault="00CB527F">
      <w:pPr>
        <w:pStyle w:val="2-"/>
      </w:pPr>
    </w:p>
    <w:p w:rsidR="00CB527F" w:rsidRDefault="00CB527F">
      <w:pPr>
        <w:pStyle w:val="2-"/>
      </w:pPr>
    </w:p>
    <w:p w:rsidR="00CB527F" w:rsidRPr="00613DDD" w:rsidRDefault="00CB527F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B833F8" w:rsidRPr="008D24D7" w:rsidRDefault="008D24D7" w:rsidP="008D24D7">
      <w:pPr>
        <w:pStyle w:val="affffa"/>
        <w:spacing w:after="0"/>
        <w:jc w:val="left"/>
        <w:rPr>
          <w:b w:val="0"/>
          <w:szCs w:val="24"/>
        </w:rPr>
      </w:pPr>
      <w:bookmarkStart w:id="212" w:name="_Toc530579181"/>
      <w:bookmarkStart w:id="213" w:name="_Toc510617031"/>
      <w:bookmarkStart w:id="214" w:name="_Ref437561441"/>
      <w:bookmarkStart w:id="215" w:name="_Ref437561184"/>
      <w:bookmarkStart w:id="216" w:name="_Ref437561208"/>
      <w:bookmarkStart w:id="217" w:name="_Toc437973306"/>
      <w:bookmarkStart w:id="218" w:name="_Toc438110048"/>
      <w:bookmarkStart w:id="219" w:name="_Toc438376260"/>
      <w:bookmarkEnd w:id="209"/>
      <w:bookmarkEnd w:id="210"/>
      <w:bookmarkEnd w:id="211"/>
      <w:r>
        <w:rPr>
          <w:b w:val="0"/>
          <w:szCs w:val="24"/>
        </w:rPr>
        <w:lastRenderedPageBreak/>
        <w:t xml:space="preserve">                                                                                    </w:t>
      </w:r>
      <w:r w:rsidR="00EB6095" w:rsidRPr="008D24D7">
        <w:rPr>
          <w:b w:val="0"/>
          <w:szCs w:val="24"/>
        </w:rPr>
        <w:t xml:space="preserve">Приложение </w:t>
      </w:r>
      <w:r w:rsidR="00302529" w:rsidRPr="008D24D7">
        <w:rPr>
          <w:b w:val="0"/>
          <w:szCs w:val="24"/>
        </w:rPr>
        <w:t>1</w:t>
      </w:r>
    </w:p>
    <w:p w:rsidR="00302529" w:rsidRPr="008D24D7" w:rsidRDefault="008D24D7" w:rsidP="008D24D7">
      <w:pPr>
        <w:pStyle w:val="affffa"/>
        <w:spacing w:after="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</w:t>
      </w:r>
      <w:r w:rsidR="00B833F8" w:rsidRPr="008D24D7">
        <w:rPr>
          <w:b w:val="0"/>
          <w:szCs w:val="24"/>
        </w:rPr>
        <w:t>к Административному регламен</w:t>
      </w:r>
      <w:r w:rsidRPr="008D24D7">
        <w:rPr>
          <w:b w:val="0"/>
          <w:szCs w:val="24"/>
        </w:rPr>
        <w:t>ту,</w:t>
      </w:r>
    </w:p>
    <w:p w:rsidR="008D24D7" w:rsidRDefault="008D24D7" w:rsidP="008D24D7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>
        <w:rPr>
          <w:i w:val="0"/>
        </w:rPr>
        <w:t xml:space="preserve">                   </w:t>
      </w:r>
      <w:r w:rsidRPr="008D24D7">
        <w:rPr>
          <w:i w:val="0"/>
        </w:rPr>
        <w:t xml:space="preserve">           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8D24D7" w:rsidRDefault="008D24D7" w:rsidP="008D24D7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городского округа Красногорск</w:t>
      </w:r>
    </w:p>
    <w:p w:rsidR="008D24D7" w:rsidRPr="008D24D7" w:rsidRDefault="008D24D7" w:rsidP="008D24D7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Московской области</w:t>
      </w:r>
    </w:p>
    <w:p w:rsidR="00EB6095" w:rsidRPr="008D24D7" w:rsidRDefault="008D24D7" w:rsidP="008D24D7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от 10.12.2019 № 3090/12</w:t>
      </w:r>
    </w:p>
    <w:p w:rsidR="00B833F8" w:rsidRPr="00613DDD" w:rsidRDefault="00B833F8">
      <w:pPr>
        <w:pStyle w:val="2-"/>
      </w:pPr>
    </w:p>
    <w:bookmarkEnd w:id="212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13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lastRenderedPageBreak/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487ACD" w:rsidP="00487ACD">
      <w:pPr>
        <w:pStyle w:val="affffa"/>
        <w:spacing w:after="0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</w:t>
      </w:r>
      <w:r w:rsidR="00EB6095" w:rsidRPr="00613DDD">
        <w:rPr>
          <w:b w:val="0"/>
        </w:rPr>
        <w:t xml:space="preserve">Приложение </w:t>
      </w:r>
      <w:r w:rsidR="00302529">
        <w:rPr>
          <w:b w:val="0"/>
        </w:rPr>
        <w:t>2</w:t>
      </w:r>
    </w:p>
    <w:p w:rsidR="00487ACD" w:rsidRPr="008D24D7" w:rsidRDefault="00487ACD" w:rsidP="00487ACD">
      <w:pPr>
        <w:pStyle w:val="affffa"/>
        <w:spacing w:after="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</w:t>
      </w:r>
      <w:r w:rsidRPr="008D24D7">
        <w:rPr>
          <w:b w:val="0"/>
          <w:szCs w:val="24"/>
        </w:rPr>
        <w:t>к Административному регламенту,</w:t>
      </w:r>
    </w:p>
    <w:p w:rsidR="00487ACD" w:rsidRDefault="00487ACD" w:rsidP="00487ACD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>
        <w:rPr>
          <w:i w:val="0"/>
        </w:rPr>
        <w:t xml:space="preserve">                   </w:t>
      </w:r>
      <w:r w:rsidRPr="008D24D7">
        <w:rPr>
          <w:i w:val="0"/>
        </w:rPr>
        <w:t xml:space="preserve">           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487ACD" w:rsidRDefault="00487ACD" w:rsidP="00487AC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городского округа Красногорск</w:t>
      </w:r>
    </w:p>
    <w:p w:rsidR="00487ACD" w:rsidRPr="008D24D7" w:rsidRDefault="00487ACD" w:rsidP="00487AC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Московской области</w:t>
      </w:r>
    </w:p>
    <w:p w:rsidR="00487ACD" w:rsidRPr="008D24D7" w:rsidRDefault="00487ACD" w:rsidP="00487ACD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от 10.12.2019 № 3090/12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487ACD" w:rsidP="00487ACD">
      <w:pPr>
        <w:pStyle w:val="affffa"/>
        <w:spacing w:after="0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</w:t>
      </w:r>
      <w:r w:rsidR="001F644D" w:rsidRPr="00613DDD">
        <w:rPr>
          <w:b w:val="0"/>
        </w:rPr>
        <w:t xml:space="preserve">Приложение </w:t>
      </w:r>
      <w:r w:rsidR="00C533DE">
        <w:rPr>
          <w:b w:val="0"/>
        </w:rPr>
        <w:t>3</w:t>
      </w:r>
    </w:p>
    <w:p w:rsidR="00487ACD" w:rsidRPr="008D24D7" w:rsidRDefault="00487ACD" w:rsidP="00487ACD">
      <w:pPr>
        <w:pStyle w:val="affffa"/>
        <w:spacing w:after="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</w:t>
      </w:r>
      <w:r w:rsidRPr="008D24D7">
        <w:rPr>
          <w:b w:val="0"/>
          <w:szCs w:val="24"/>
        </w:rPr>
        <w:t>к Административному регламенту,</w:t>
      </w:r>
    </w:p>
    <w:p w:rsidR="00487ACD" w:rsidRDefault="00487ACD" w:rsidP="00487ACD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>
        <w:rPr>
          <w:i w:val="0"/>
        </w:rPr>
        <w:t xml:space="preserve">                   </w:t>
      </w:r>
      <w:r w:rsidRPr="008D24D7">
        <w:rPr>
          <w:i w:val="0"/>
        </w:rPr>
        <w:t xml:space="preserve">           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487ACD" w:rsidRDefault="00487ACD" w:rsidP="00487AC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городского округа Красногорск</w:t>
      </w:r>
    </w:p>
    <w:p w:rsidR="00487ACD" w:rsidRPr="008D24D7" w:rsidRDefault="00487ACD" w:rsidP="00487AC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Московской области</w:t>
      </w:r>
    </w:p>
    <w:p w:rsidR="00487ACD" w:rsidRPr="008D24D7" w:rsidRDefault="00487ACD" w:rsidP="00487ACD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от 10.12.2019 № 3090/12</w:t>
      </w:r>
    </w:p>
    <w:p w:rsidR="00C533DE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90240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</w:t>
            </w:r>
            <w:r w:rsidR="00902406">
              <w:rPr>
                <w:rFonts w:ascii="Times New Roman" w:hAnsi="Times New Roman"/>
                <w:sz w:val="24"/>
                <w:szCs w:val="24"/>
              </w:rPr>
              <w:t xml:space="preserve">ебований, установленных </w:t>
            </w:r>
            <w:r w:rsidR="00902406" w:rsidRPr="00902406">
              <w:rPr>
                <w:rFonts w:ascii="Times New Roman" w:hAnsi="Times New Roman"/>
                <w:sz w:val="24"/>
                <w:szCs w:val="24"/>
              </w:rPr>
              <w:t>частью 5 в случае, если для установки и эксплуат</w:t>
            </w:r>
            <w:bookmarkStart w:id="220" w:name="_GoBack"/>
            <w:bookmarkEnd w:id="220"/>
            <w:r w:rsidR="00902406" w:rsidRPr="00902406">
              <w:rPr>
                <w:rFonts w:ascii="Times New Roman" w:hAnsi="Times New Roman"/>
                <w:sz w:val="24"/>
                <w:szCs w:val="24"/>
              </w:rPr>
              <w:t>ации рекламной конструкции используется общее имущество собственников помещений в многоквартирном доме, частями 5.1, 5.6, 5.7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487ACD" w:rsidP="00487ACD">
      <w:pPr>
        <w:pStyle w:val="affffa"/>
        <w:spacing w:after="0"/>
        <w:jc w:val="left"/>
        <w:rPr>
          <w:b w:val="0"/>
        </w:rPr>
      </w:pPr>
      <w:bookmarkStart w:id="221" w:name="_Toc530579184"/>
      <w:bookmarkStart w:id="222" w:name="_Toc510617032"/>
      <w:r>
        <w:rPr>
          <w:b w:val="0"/>
        </w:rPr>
        <w:lastRenderedPageBreak/>
        <w:t xml:space="preserve">                                                                                    </w:t>
      </w:r>
      <w:r w:rsidR="001F644D" w:rsidRPr="00613DDD">
        <w:rPr>
          <w:b w:val="0"/>
        </w:rPr>
        <w:t xml:space="preserve">Приложение </w:t>
      </w:r>
      <w:r w:rsidR="00C533DE">
        <w:rPr>
          <w:b w:val="0"/>
        </w:rPr>
        <w:t>4</w:t>
      </w:r>
    </w:p>
    <w:p w:rsidR="00C533DE" w:rsidRDefault="00487ACD" w:rsidP="00487ACD">
      <w:pPr>
        <w:pStyle w:val="affffa"/>
        <w:spacing w:after="0"/>
        <w:jc w:val="left"/>
        <w:rPr>
          <w:rFonts w:eastAsia="Calibri"/>
          <w:b w:val="0"/>
          <w:bCs w:val="0"/>
          <w:iCs w:val="0"/>
          <w:sz w:val="22"/>
        </w:rPr>
      </w:pPr>
      <w:r>
        <w:rPr>
          <w:b w:val="0"/>
        </w:rPr>
        <w:t xml:space="preserve">                                                                                    </w:t>
      </w:r>
      <w:r w:rsidR="001F644D" w:rsidRPr="00613DDD">
        <w:rPr>
          <w:b w:val="0"/>
        </w:rPr>
        <w:t>к Административному регламенту</w:t>
      </w:r>
      <w:r>
        <w:rPr>
          <w:b w:val="0"/>
        </w:rPr>
        <w:t>,</w:t>
      </w:r>
    </w:p>
    <w:p w:rsidR="00487ACD" w:rsidRDefault="00487ACD" w:rsidP="00487ACD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>
        <w:rPr>
          <w:i w:val="0"/>
        </w:rPr>
        <w:t xml:space="preserve">                            </w:t>
      </w:r>
      <w:r w:rsidRPr="008D24D7">
        <w:rPr>
          <w:i w:val="0"/>
        </w:rPr>
        <w:t xml:space="preserve">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487ACD" w:rsidRDefault="00487ACD" w:rsidP="00487AC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городского округа Красногорск</w:t>
      </w:r>
    </w:p>
    <w:p w:rsidR="00487ACD" w:rsidRPr="008D24D7" w:rsidRDefault="00487ACD" w:rsidP="00487AC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Московской области</w:t>
      </w:r>
    </w:p>
    <w:p w:rsidR="00487ACD" w:rsidRPr="008D24D7" w:rsidRDefault="00487ACD" w:rsidP="00487ACD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от 10.12.2019 № 3090/12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</w:t>
      </w:r>
      <w:r w:rsidR="0074127C" w:rsidRPr="00613DDD">
        <w:rPr>
          <w:rFonts w:ascii="Times New Roman" w:hAnsi="Times New Roman" w:cs="Times New Roman"/>
          <w:sz w:val="24"/>
          <w:szCs w:val="24"/>
        </w:rPr>
        <w:lastRenderedPageBreak/>
        <w:t>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 w:rsidP="008D24D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8D24D7"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8D24D7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8D24D7">
        <w:rPr>
          <w:rFonts w:ascii="Times New Roman" w:hAnsi="Times New Roman" w:cs="Times New Roman"/>
          <w:sz w:val="24"/>
          <w:szCs w:val="24"/>
        </w:rPr>
        <w:t>9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F700BF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Красногорск Московской области от 02.04.2019 № 627/4 «Об утверждении схемы размещения рекламных конструкций на территории городского округа Красногорск Московской области»</w:t>
      </w:r>
      <w:r w:rsidR="0074127C" w:rsidRPr="00613DDD">
        <w:rPr>
          <w:rFonts w:ascii="Times New Roman" w:hAnsi="Times New Roman" w:cs="Times New Roman"/>
          <w:sz w:val="24"/>
          <w:szCs w:val="24"/>
        </w:rPr>
        <w:t>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1F644D" w:rsidRPr="00613DDD" w:rsidRDefault="00487ACD" w:rsidP="00487ACD">
      <w:pPr>
        <w:pStyle w:val="affffa"/>
        <w:spacing w:after="0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</w:t>
      </w:r>
      <w:r w:rsidR="001F644D"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487ACD" w:rsidP="00487ACD">
      <w:pPr>
        <w:pStyle w:val="affffa"/>
        <w:spacing w:after="0"/>
        <w:jc w:val="left"/>
        <w:rPr>
          <w:rFonts w:eastAsia="Calibri"/>
          <w:b w:val="0"/>
          <w:bCs w:val="0"/>
          <w:iCs w:val="0"/>
          <w:sz w:val="22"/>
        </w:rPr>
      </w:pPr>
      <w:r>
        <w:rPr>
          <w:b w:val="0"/>
        </w:rPr>
        <w:t xml:space="preserve">                                                                                    </w:t>
      </w:r>
      <w:r w:rsidR="001F644D" w:rsidRPr="00613DDD">
        <w:rPr>
          <w:b w:val="0"/>
        </w:rPr>
        <w:t>к Административному регламенту</w:t>
      </w:r>
      <w:r>
        <w:rPr>
          <w:b w:val="0"/>
        </w:rPr>
        <w:t>,</w:t>
      </w:r>
    </w:p>
    <w:p w:rsidR="00487ACD" w:rsidRDefault="00487ACD" w:rsidP="00487ACD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 w:rsidR="00B66E2C">
        <w:rPr>
          <w:i w:val="0"/>
        </w:rPr>
        <w:t xml:space="preserve">    </w:t>
      </w:r>
      <w:r>
        <w:rPr>
          <w:i w:val="0"/>
        </w:rPr>
        <w:t xml:space="preserve">              </w:t>
      </w:r>
      <w:r w:rsidRPr="008D24D7">
        <w:rPr>
          <w:i w:val="0"/>
        </w:rPr>
        <w:t xml:space="preserve">          </w:t>
      </w:r>
      <w:r>
        <w:rPr>
          <w:i w:val="0"/>
        </w:rPr>
        <w:t xml:space="preserve">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487ACD" w:rsidRDefault="00487ACD" w:rsidP="00487AC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городского округа Красногорск</w:t>
      </w:r>
    </w:p>
    <w:p w:rsidR="00487ACD" w:rsidRPr="008D24D7" w:rsidRDefault="00487ACD" w:rsidP="00487AC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Московской области</w:t>
      </w:r>
    </w:p>
    <w:p w:rsidR="00487ACD" w:rsidRPr="008D24D7" w:rsidRDefault="00487ACD" w:rsidP="00487ACD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от 10.12.2019 № 3090/12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1F644D" w:rsidRPr="00613DDD" w:rsidRDefault="00B66E2C" w:rsidP="00B66E2C">
      <w:pPr>
        <w:pStyle w:val="affffa"/>
        <w:spacing w:after="0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</w:t>
      </w:r>
      <w:r w:rsidR="001F644D"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</w:p>
    <w:p w:rsidR="00C533DE" w:rsidRDefault="00B66E2C" w:rsidP="00B66E2C">
      <w:pPr>
        <w:pStyle w:val="affffa"/>
        <w:spacing w:after="0"/>
        <w:jc w:val="left"/>
        <w:rPr>
          <w:rFonts w:eastAsia="Calibri"/>
          <w:b w:val="0"/>
          <w:bCs w:val="0"/>
          <w:iCs w:val="0"/>
          <w:sz w:val="22"/>
        </w:rPr>
      </w:pPr>
      <w:r>
        <w:rPr>
          <w:b w:val="0"/>
        </w:rPr>
        <w:t xml:space="preserve">                                                                                    </w:t>
      </w:r>
      <w:r w:rsidR="001F644D"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>.</w:t>
      </w:r>
    </w:p>
    <w:p w:rsidR="00B66E2C" w:rsidRDefault="00B66E2C" w:rsidP="00B66E2C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>
        <w:rPr>
          <w:i w:val="0"/>
        </w:rPr>
        <w:t xml:space="preserve">                            </w:t>
      </w:r>
      <w:r w:rsidRPr="008D24D7">
        <w:rPr>
          <w:i w:val="0"/>
        </w:rPr>
        <w:t xml:space="preserve">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B66E2C" w:rsidRDefault="00B66E2C" w:rsidP="00B66E2C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городского округа Красногорск</w:t>
      </w:r>
    </w:p>
    <w:p w:rsidR="00B66E2C" w:rsidRPr="008D24D7" w:rsidRDefault="00B66E2C" w:rsidP="00B66E2C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Московской области</w:t>
      </w:r>
    </w:p>
    <w:p w:rsidR="00B66E2C" w:rsidRPr="008D24D7" w:rsidRDefault="00B66E2C" w:rsidP="00B66E2C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от 10.12.2019 № 3090/12</w:t>
      </w: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 w:rsidP="00F700BF">
            <w:pPr>
              <w:pStyle w:val="affffa"/>
              <w:spacing w:after="0"/>
              <w:jc w:val="left"/>
              <w:rPr>
                <w:b w:val="0"/>
              </w:rPr>
            </w:pPr>
          </w:p>
          <w:p w:rsidR="00F700BF" w:rsidRDefault="00F700BF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</w:p>
          <w:p w:rsidR="00F700BF" w:rsidRPr="00F700BF" w:rsidRDefault="00F700BF" w:rsidP="00F700BF">
            <w:pPr>
              <w:pStyle w:val="2-"/>
            </w:pPr>
          </w:p>
          <w:p w:rsidR="001F644D" w:rsidRPr="00613DDD" w:rsidRDefault="00B66E2C" w:rsidP="00B66E2C">
            <w:pPr>
              <w:pStyle w:val="affffa"/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                                                         </w:t>
            </w:r>
            <w:r w:rsidR="001F644D"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B66E2C" w:rsidP="00B66E2C">
            <w:pPr>
              <w:pStyle w:val="affffa"/>
              <w:spacing w:after="0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b w:val="0"/>
              </w:rPr>
              <w:t xml:space="preserve">                                                                                    </w:t>
            </w:r>
            <w:r w:rsidR="001F644D" w:rsidRPr="00613DDD">
              <w:rPr>
                <w:b w:val="0"/>
              </w:rPr>
              <w:t>к Административному регламенту</w:t>
            </w:r>
            <w:r>
              <w:rPr>
                <w:rFonts w:eastAsia="Calibri"/>
                <w:b w:val="0"/>
                <w:bCs w:val="0"/>
                <w:iCs w:val="0"/>
                <w:sz w:val="22"/>
              </w:rPr>
              <w:t>,</w:t>
            </w:r>
          </w:p>
          <w:p w:rsidR="00B66E2C" w:rsidRDefault="00B66E2C" w:rsidP="00B66E2C">
            <w:pPr>
              <w:pStyle w:val="2-"/>
              <w:rPr>
                <w:b w:val="0"/>
                <w:i w:val="0"/>
              </w:rPr>
            </w:pPr>
            <w:r w:rsidRPr="008D24D7">
              <w:rPr>
                <w:i w:val="0"/>
              </w:rPr>
              <w:t xml:space="preserve">                                       </w:t>
            </w:r>
            <w:r>
              <w:rPr>
                <w:i w:val="0"/>
              </w:rPr>
              <w:t xml:space="preserve">                            </w:t>
            </w:r>
            <w:r w:rsidRPr="008D24D7">
              <w:rPr>
                <w:b w:val="0"/>
                <w:i w:val="0"/>
              </w:rPr>
              <w:t>утвержденному постановлением администрации</w:t>
            </w:r>
          </w:p>
          <w:p w:rsidR="00B66E2C" w:rsidRDefault="00B66E2C" w:rsidP="00B66E2C">
            <w:pPr>
              <w:pStyle w:val="2-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                                                                              городского округа Красногорск</w:t>
            </w:r>
          </w:p>
          <w:p w:rsidR="00B66E2C" w:rsidRPr="008D24D7" w:rsidRDefault="00B66E2C" w:rsidP="00B66E2C">
            <w:pPr>
              <w:pStyle w:val="2-"/>
              <w:ind w:left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                                                                              Московской области</w:t>
            </w:r>
          </w:p>
          <w:p w:rsidR="00B66E2C" w:rsidRPr="008D24D7" w:rsidRDefault="00B66E2C" w:rsidP="00B66E2C">
            <w:pPr>
              <w:pStyle w:val="affffa"/>
              <w:spacing w:after="0"/>
              <w:jc w:val="left"/>
              <w:rPr>
                <w:rFonts w:eastAsia="Calibri"/>
                <w:b w:val="0"/>
                <w:bCs w:val="0"/>
                <w:iCs w:val="0"/>
                <w:szCs w:val="24"/>
              </w:rPr>
            </w:pPr>
            <w:r>
              <w:rPr>
                <w:rFonts w:eastAsia="Calibri"/>
                <w:b w:val="0"/>
                <w:bCs w:val="0"/>
                <w:iCs w:val="0"/>
                <w:szCs w:val="24"/>
              </w:rPr>
              <w:t xml:space="preserve">                                                                                    от 10.12.2019 № 3090/12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B66E2C" w:rsidP="00B66E2C">
      <w:pPr>
        <w:pStyle w:val="affffa"/>
        <w:spacing w:after="0"/>
        <w:jc w:val="left"/>
        <w:rPr>
          <w:b w:val="0"/>
        </w:rPr>
      </w:pPr>
      <w:bookmarkStart w:id="250" w:name="_Toc530579185"/>
      <w:bookmarkStart w:id="251" w:name="_Toc510617040"/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1F644D" w:rsidRPr="00613DDD">
        <w:rPr>
          <w:b w:val="0"/>
        </w:rPr>
        <w:t xml:space="preserve">Приложение </w:t>
      </w:r>
      <w:r w:rsidR="00C533DE">
        <w:rPr>
          <w:b w:val="0"/>
        </w:rPr>
        <w:t>8</w:t>
      </w:r>
    </w:p>
    <w:p w:rsidR="00C533DE" w:rsidRDefault="00B66E2C" w:rsidP="00B66E2C">
      <w:pPr>
        <w:pStyle w:val="affffa"/>
        <w:spacing w:after="0"/>
        <w:jc w:val="left"/>
        <w:rPr>
          <w:rFonts w:eastAsia="Calibri"/>
          <w:b w:val="0"/>
          <w:bCs w:val="0"/>
          <w:iCs w:val="0"/>
          <w:sz w:val="2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 w:rsidR="001F644D" w:rsidRPr="00613DDD">
        <w:rPr>
          <w:b w:val="0"/>
        </w:rPr>
        <w:t>к Административному регламенту</w:t>
      </w:r>
      <w:r>
        <w:rPr>
          <w:b w:val="0"/>
        </w:rPr>
        <w:t>,</w:t>
      </w:r>
    </w:p>
    <w:p w:rsidR="00B66E2C" w:rsidRDefault="00B66E2C" w:rsidP="00B66E2C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>
        <w:rPr>
          <w:i w:val="0"/>
        </w:rPr>
        <w:t xml:space="preserve">                   </w:t>
      </w:r>
      <w:r w:rsidRPr="008D24D7">
        <w:rPr>
          <w:i w:val="0"/>
        </w:rPr>
        <w:t xml:space="preserve">        </w:t>
      </w:r>
      <w:r>
        <w:rPr>
          <w:i w:val="0"/>
        </w:rPr>
        <w:t xml:space="preserve">                                                                 </w:t>
      </w:r>
      <w:r w:rsidRPr="008D24D7">
        <w:rPr>
          <w:i w:val="0"/>
        </w:rPr>
        <w:t xml:space="preserve">   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B66E2C" w:rsidRDefault="00B66E2C" w:rsidP="00B66E2C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                                                 городского округа Красногорск</w:t>
      </w:r>
    </w:p>
    <w:p w:rsidR="00B66E2C" w:rsidRPr="008D24D7" w:rsidRDefault="00B66E2C" w:rsidP="00B66E2C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                                                 Московской области</w:t>
      </w:r>
    </w:p>
    <w:p w:rsidR="00B66E2C" w:rsidRPr="008D24D7" w:rsidRDefault="00B66E2C" w:rsidP="00B66E2C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                                                                      от 10.12.2019 № 3090/12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состоянию и внешнему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ии, 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Фотофиксацию необходимо производить с двух противоположных сторон на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</w:t>
            </w:r>
            <w:r w:rsidR="00B66E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стоящих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6E2C" w:rsidRDefault="00B66E2C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6E2C" w:rsidRDefault="00B66E2C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6E2C" w:rsidRDefault="00B66E2C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B6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B66E2C" w:rsidP="00B66E2C">
      <w:pPr>
        <w:pStyle w:val="affffa"/>
        <w:spacing w:after="0"/>
        <w:jc w:val="left"/>
        <w:rPr>
          <w:b w:val="0"/>
        </w:rPr>
      </w:pPr>
      <w:bookmarkStart w:id="255" w:name="_Toc530579186"/>
      <w:bookmarkStart w:id="256" w:name="_Toc515296511"/>
      <w:r>
        <w:rPr>
          <w:b w:val="0"/>
        </w:rPr>
        <w:lastRenderedPageBreak/>
        <w:t xml:space="preserve">                                                                                    </w:t>
      </w:r>
      <w:r w:rsidR="001F644D" w:rsidRPr="00613DDD">
        <w:rPr>
          <w:b w:val="0"/>
        </w:rPr>
        <w:t xml:space="preserve">Приложение </w:t>
      </w:r>
      <w:r w:rsidR="00C533DE">
        <w:rPr>
          <w:b w:val="0"/>
        </w:rPr>
        <w:t>9</w:t>
      </w:r>
    </w:p>
    <w:p w:rsidR="00C533DE" w:rsidRDefault="00B66E2C" w:rsidP="00B66E2C">
      <w:pPr>
        <w:pStyle w:val="affffa"/>
        <w:spacing w:after="0"/>
        <w:jc w:val="left"/>
        <w:rPr>
          <w:rFonts w:eastAsia="Calibri"/>
          <w:b w:val="0"/>
          <w:bCs w:val="0"/>
          <w:iCs w:val="0"/>
          <w:sz w:val="22"/>
        </w:rPr>
      </w:pPr>
      <w:r>
        <w:rPr>
          <w:b w:val="0"/>
        </w:rPr>
        <w:t xml:space="preserve">                                                                                    </w:t>
      </w:r>
      <w:r w:rsidR="001F644D"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>,</w:t>
      </w:r>
    </w:p>
    <w:p w:rsidR="00B66E2C" w:rsidRDefault="00B66E2C" w:rsidP="00B66E2C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>
        <w:rPr>
          <w:i w:val="0"/>
        </w:rPr>
        <w:t xml:space="preserve">                   </w:t>
      </w:r>
      <w:r w:rsidRPr="008D24D7">
        <w:rPr>
          <w:i w:val="0"/>
        </w:rPr>
        <w:t xml:space="preserve">           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B66E2C" w:rsidRDefault="00B66E2C" w:rsidP="00B66E2C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городского округа Красногорск</w:t>
      </w:r>
    </w:p>
    <w:p w:rsidR="00B66E2C" w:rsidRPr="008D24D7" w:rsidRDefault="00B66E2C" w:rsidP="00B66E2C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Московской области</w:t>
      </w:r>
    </w:p>
    <w:p w:rsidR="00B66E2C" w:rsidRPr="008D24D7" w:rsidRDefault="00B66E2C" w:rsidP="00B66E2C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от 10.12.2019 № 3090/12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 w:rsidP="00A7601D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1F644D" w:rsidRPr="00613DDD" w:rsidRDefault="00A7601D" w:rsidP="00A7601D">
      <w:pPr>
        <w:pStyle w:val="affffa"/>
        <w:spacing w:after="0"/>
        <w:jc w:val="left"/>
        <w:rPr>
          <w:b w:val="0"/>
        </w:rPr>
      </w:pPr>
      <w:bookmarkStart w:id="257" w:name="_Приложение_№_9."/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4"/>
      <w:bookmarkEnd w:id="215"/>
      <w:bookmarkEnd w:id="216"/>
      <w:bookmarkEnd w:id="217"/>
      <w:bookmarkEnd w:id="218"/>
      <w:bookmarkEnd w:id="219"/>
      <w:bookmarkEnd w:id="257"/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F644D"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A7601D" w:rsidP="00A7601D">
      <w:pPr>
        <w:pStyle w:val="affffa"/>
        <w:spacing w:after="0"/>
        <w:jc w:val="left"/>
        <w:rPr>
          <w:rFonts w:eastAsia="Calibri"/>
          <w:b w:val="0"/>
          <w:bCs w:val="0"/>
          <w:iCs w:val="0"/>
          <w:sz w:val="2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</w:t>
      </w:r>
      <w:r w:rsidR="001F644D"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>,</w:t>
      </w:r>
    </w:p>
    <w:p w:rsidR="00A7601D" w:rsidRDefault="00A7601D" w:rsidP="00A7601D">
      <w:pPr>
        <w:pStyle w:val="2-"/>
        <w:rPr>
          <w:b w:val="0"/>
          <w:i w:val="0"/>
        </w:rPr>
      </w:pPr>
      <w:r w:rsidRPr="008D24D7">
        <w:rPr>
          <w:i w:val="0"/>
        </w:rPr>
        <w:t xml:space="preserve">                                       </w:t>
      </w:r>
      <w:r>
        <w:rPr>
          <w:i w:val="0"/>
        </w:rPr>
        <w:t xml:space="preserve">                   </w:t>
      </w:r>
      <w:r w:rsidRPr="008D24D7">
        <w:rPr>
          <w:i w:val="0"/>
        </w:rPr>
        <w:t xml:space="preserve">       </w:t>
      </w:r>
      <w:r>
        <w:rPr>
          <w:i w:val="0"/>
        </w:rPr>
        <w:t xml:space="preserve">                                                            </w:t>
      </w:r>
      <w:r w:rsidRPr="008D24D7">
        <w:rPr>
          <w:i w:val="0"/>
        </w:rPr>
        <w:t xml:space="preserve">     </w:t>
      </w:r>
      <w:r w:rsidRPr="008D24D7">
        <w:rPr>
          <w:b w:val="0"/>
          <w:i w:val="0"/>
        </w:rPr>
        <w:t>утвержденному постановлением администрации</w:t>
      </w:r>
    </w:p>
    <w:p w:rsidR="00A7601D" w:rsidRDefault="00A7601D" w:rsidP="00A7601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                                           городского округа Красногорск</w:t>
      </w:r>
    </w:p>
    <w:p w:rsidR="00A7601D" w:rsidRPr="008D24D7" w:rsidRDefault="00A7601D" w:rsidP="00A7601D">
      <w:pPr>
        <w:pStyle w:val="2-"/>
        <w:ind w:left="0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                                           Московской области</w:t>
      </w:r>
    </w:p>
    <w:p w:rsidR="00A7601D" w:rsidRPr="008D24D7" w:rsidRDefault="00A7601D" w:rsidP="00A7601D">
      <w:pPr>
        <w:pStyle w:val="affffa"/>
        <w:spacing w:after="0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 xml:space="preserve">                                                                                                                                                    от 10.12.2019 № 3090/12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7601D" w:rsidRPr="00613DDD" w:rsidRDefault="00A760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(ий)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2A" w:rsidRDefault="0003572A" w:rsidP="005F1EAE">
      <w:pPr>
        <w:spacing w:after="0" w:line="240" w:lineRule="auto"/>
      </w:pPr>
      <w:r>
        <w:separator/>
      </w:r>
    </w:p>
  </w:endnote>
  <w:endnote w:type="continuationSeparator" w:id="0">
    <w:p w:rsidR="0003572A" w:rsidRDefault="0003572A" w:rsidP="005F1EAE">
      <w:pPr>
        <w:spacing w:after="0" w:line="240" w:lineRule="auto"/>
      </w:pPr>
      <w:r>
        <w:continuationSeparator/>
      </w:r>
    </w:p>
  </w:endnote>
  <w:endnote w:type="continuationNotice" w:id="1">
    <w:p w:rsidR="0003572A" w:rsidRDefault="00035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28" w:rsidRDefault="00345C28" w:rsidP="00461595">
    <w:pPr>
      <w:pStyle w:val="aa"/>
      <w:jc w:val="center"/>
    </w:pPr>
  </w:p>
  <w:p w:rsidR="00345C28" w:rsidRDefault="00345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28" w:rsidRDefault="00345C28" w:rsidP="00A55FBB">
    <w:pPr>
      <w:pStyle w:val="aa"/>
      <w:framePr w:wrap="none" w:vAnchor="text" w:hAnchor="margin" w:xAlign="right" w:y="1"/>
      <w:rPr>
        <w:rStyle w:val="af5"/>
      </w:rPr>
    </w:pPr>
  </w:p>
  <w:p w:rsidR="00345C28" w:rsidRPr="00FF3AC8" w:rsidRDefault="00345C2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2A" w:rsidRDefault="0003572A" w:rsidP="005F1EAE">
      <w:pPr>
        <w:spacing w:after="0" w:line="240" w:lineRule="auto"/>
      </w:pPr>
      <w:r>
        <w:separator/>
      </w:r>
    </w:p>
  </w:footnote>
  <w:footnote w:type="continuationSeparator" w:id="0">
    <w:p w:rsidR="0003572A" w:rsidRDefault="0003572A" w:rsidP="005F1EAE">
      <w:pPr>
        <w:spacing w:after="0" w:line="240" w:lineRule="auto"/>
      </w:pPr>
      <w:r>
        <w:continuationSeparator/>
      </w:r>
    </w:p>
  </w:footnote>
  <w:footnote w:type="continuationNotice" w:id="1">
    <w:p w:rsidR="0003572A" w:rsidRDefault="00035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74685"/>
      <w:docPartObj>
        <w:docPartGallery w:val="Page Numbers (Top of Page)"/>
        <w:docPartUnique/>
      </w:docPartObj>
    </w:sdtPr>
    <w:sdtEndPr/>
    <w:sdtContent>
      <w:p w:rsidR="00345C28" w:rsidRDefault="00345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40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45C28" w:rsidRDefault="00345C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28" w:rsidRPr="00E57E03" w:rsidRDefault="00345C2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 w15:restartNumberingAfterBreak="0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 w15:restartNumberingAfterBreak="0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 w15:restartNumberingAfterBreak="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 w15:restartNumberingAfterBreak="0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2A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17A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B6C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D22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1F93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0C35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6BA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C28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3E71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57A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87ACD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2B88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5866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A8B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4D7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406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4EE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26F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A44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1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6E2C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A760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07DE3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0A65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34"/>
    <w:rsid w:val="00C81D74"/>
    <w:rsid w:val="00C832A2"/>
    <w:rsid w:val="00C83A78"/>
    <w:rsid w:val="00C84943"/>
    <w:rsid w:val="00C854D8"/>
    <w:rsid w:val="00C8573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27F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5C5C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2979"/>
    <w:rsid w:val="00E4301E"/>
    <w:rsid w:val="00E4310E"/>
    <w:rsid w:val="00E444F5"/>
    <w:rsid w:val="00E452D3"/>
    <w:rsid w:val="00E456A6"/>
    <w:rsid w:val="00E46181"/>
    <w:rsid w:val="00E4716A"/>
    <w:rsid w:val="00E473F4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1D07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667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0BF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3D"/>
    <w:rsid w:val="00FA0045"/>
    <w:rsid w:val="00FA0719"/>
    <w:rsid w:val="00FA15CF"/>
    <w:rsid w:val="00FA1854"/>
    <w:rsid w:val="00FA1C83"/>
    <w:rsid w:val="00FA201F"/>
    <w:rsid w:val="00FA207D"/>
    <w:rsid w:val="00FA264E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361975-14B9-44E1-A75E-C79FCB2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E05C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asnogorsk-adm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4345C-146D-47C7-BBC4-14179931E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38CFE-E05C-4B66-80B7-31DC9CD2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21973</Words>
  <Characters>125247</Characters>
  <Application>Microsoft Office Word</Application>
  <DocSecurity>0</DocSecurity>
  <Lines>1043</Lines>
  <Paragraphs>293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146927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Инна Игоревна Сигова</cp:lastModifiedBy>
  <cp:revision>3</cp:revision>
  <cp:lastPrinted>2020-01-17T12:59:00Z</cp:lastPrinted>
  <dcterms:created xsi:type="dcterms:W3CDTF">2022-06-29T09:47:00Z</dcterms:created>
  <dcterms:modified xsi:type="dcterms:W3CDTF">2022-06-29T09:47:00Z</dcterms:modified>
</cp:coreProperties>
</file>