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-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02"/>
        <w:gridCol w:w="2051"/>
        <w:gridCol w:w="4969"/>
      </w:tblGrid>
      <w:tr>
        <w:trPr>
          <w:trHeight w:val="1304" w:hRule="atLeast"/>
        </w:trPr>
        <w:tc>
          <w:tcPr>
            <w:tcW w:w="2902" w:type="dxa"/>
            <w:tcBorders/>
          </w:tcPr>
          <w:p>
            <w:pPr>
              <w:pStyle w:val="TableContents"/>
              <w:pageBreakBefore/>
              <w:spacing w:lineRule="auto" w:line="276" w:before="0" w:after="0"/>
              <w:ind w:firstLine="709" w:left="0" w:right="0"/>
              <w:jc w:val="both"/>
              <w:rPr>
                <w:rFonts w:ascii="Times New Roman" w:hAnsi="Times New Roman" w:eastAsia="Times New Roman" w:cs="Times New Roman"/>
                <w:b w:val="false"/>
                <w:bCs w:val="false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8"/>
                <w:szCs w:val="28"/>
                <w:lang w:val="ru-RU"/>
              </w:rPr>
            </w:r>
          </w:p>
        </w:tc>
        <w:tc>
          <w:tcPr>
            <w:tcW w:w="2051" w:type="dxa"/>
            <w:tcBorders/>
            <w:tcMar>
              <w:left w:w="10" w:type="dxa"/>
              <w:right w:w="10" w:type="dxa"/>
            </w:tcMar>
          </w:tcPr>
          <w:p>
            <w:pPr>
              <w:pStyle w:val="Normal"/>
              <w:widowControl w:val="false"/>
              <w:tabs>
                <w:tab w:val="clear" w:pos="709"/>
                <w:tab w:val="left" w:pos="565" w:leader="none"/>
              </w:tabs>
              <w:suppressAutoHyphens w:val="true"/>
              <w:bidi w:val="0"/>
              <w:spacing w:lineRule="auto" w:line="276" w:before="0" w:after="0"/>
              <w:ind w:hanging="0" w:left="0" w:right="0"/>
              <w:jc w:val="center"/>
              <w:textAlignment w:val="baseline"/>
              <w:rPr>
                <w:rFonts w:ascii="Times New Roman" w:hAnsi="Times New Roman" w:eastAsia="Andale Sans UI" w:cs="Times New Roman"/>
                <w:b w:val="false"/>
                <w:bCs w:val="false"/>
                <w:color w:val="000000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pPr>
            <w:r>
              <w:rPr>
                <w:rFonts w:eastAsia="Andale Sans UI" w:cs="Times New Roman" w:ascii="Times New Roman" w:hAnsi="Times New Roman"/>
                <w:b w:val="false"/>
                <w:bCs w:val="false"/>
                <w:color w:val="000000"/>
                <w:kern w:val="2"/>
                <w:sz w:val="28"/>
                <w:szCs w:val="28"/>
                <w:shd w:fill="FFFFFF" w:val="clear"/>
                <w:lang w:val="de-DE" w:eastAsia="ja-JP" w:bidi="fa-IR"/>
              </w:rPr>
            </w:r>
          </w:p>
        </w:tc>
        <w:tc>
          <w:tcPr>
            <w:tcW w:w="4969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/>
            </w:pPr>
            <w:r>
              <w:rPr>
                <w:rStyle w:val="2"/>
                <w:rFonts w:cs="Lucida Sans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lang w:val="ru-RU" w:eastAsia="en-US" w:bidi="ar-SA"/>
              </w:rPr>
              <w:t>УТВЕРЖДЕН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/>
            </w:pPr>
            <w:r>
              <w:rPr>
                <w:rStyle w:val="2"/>
                <w:rFonts w:cs="Lucida Sans" w:ascii="Times New Roman" w:hAnsi="Times New Roman"/>
                <w:b w:val="false"/>
                <w:bCs w:val="false"/>
                <w:i w:val="false"/>
                <w:iCs w:val="false"/>
                <w:color w:val="000000"/>
                <w:sz w:val="28"/>
                <w:szCs w:val="28"/>
                <w:lang w:val="ru-RU" w:eastAsia="en-US" w:bidi="ar-SA"/>
              </w:rPr>
              <w:t>постановлением Администрации городского округа Красногорск Московской области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left"/>
              <w:rPr>
                <w:rFonts w:ascii="Times New Roman" w:hAnsi="Times New Roman"/>
                <w:b w:val="false"/>
                <w:bCs w:val="false"/>
                <w:color w:val="FFFFFF"/>
                <w:sz w:val="28"/>
                <w:szCs w:val="28"/>
                <w:lang w:val="ru-RU"/>
              </w:rPr>
            </w:pPr>
            <w:r>
              <w:rPr>
                <w:rStyle w:val="2"/>
                <w:rFonts w:cs="Lucida Sans" w:ascii="Times New Roman" w:hAnsi="Times New Roman"/>
                <w:b w:val="false"/>
                <w:bCs w:val="false"/>
                <w:i w:val="false"/>
                <w:iCs w:val="false"/>
                <w:color w:val="FFFFFF"/>
                <w:sz w:val="28"/>
                <w:szCs w:val="28"/>
                <w:lang w:val="ru-RU" w:eastAsia="en-US" w:bidi="ar-SA"/>
              </w:rPr>
              <w:t>$orderNum$</w:t>
            </w:r>
          </w:p>
        </w:tc>
      </w:tr>
    </w:tbl>
    <w:p>
      <w:pPr>
        <w:pStyle w:val="Normal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Административный регламент предоставления</w:t>
      </w:r>
    </w:p>
    <w:p>
      <w:pPr>
        <w:pStyle w:val="Heading"/>
        <w:keepNext w:val="true"/>
        <w:suppressAutoHyphens w:val="true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eastAsia="Microsoft YaHei" w:cs="Lucida Sans" w:ascii="Times New Roman" w:hAnsi="Times New Roman"/>
          <w:b w:val="false"/>
          <w:bCs w:val="false"/>
          <w:color w:val="000000"/>
          <w:kern w:val="2"/>
          <w:sz w:val="28"/>
          <w:szCs w:val="28"/>
          <w:lang w:val="ru-RU" w:eastAsia="zh-CN" w:bidi="hi-IN"/>
        </w:rPr>
        <w:t>муниципальной услуги «Оформление справки об участии (неучастии) в приватизации жилых муниципальных помещений»</w:t>
      </w:r>
    </w:p>
    <w:p>
      <w:pPr>
        <w:pStyle w:val="Heading1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1"/>
        <w:keepNext w:val="true"/>
        <w:spacing w:lineRule="auto" w:line="276" w:before="0" w:after="0"/>
        <w:ind w:firstLine="709" w:left="0" w:right="0"/>
        <w:jc w:val="center"/>
        <w:rPr/>
      </w:pPr>
      <w:r>
        <w:rPr>
          <w:b w:val="false"/>
          <w:bCs w:val="false"/>
          <w:color w:val="000000"/>
          <w:sz w:val="28"/>
          <w:szCs w:val="28"/>
          <w:lang w:val="en-US"/>
        </w:rPr>
        <w:t>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Общие положения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/>
      </w:pPr>
      <w:bookmarkStart w:id="0" w:name="_Toc125717089"/>
      <w:bookmarkEnd w:id="0"/>
      <w:r>
        <w:rPr>
          <w:rFonts w:eastAsia="MS Gothic" w:cs="Tahoma"/>
          <w:b w:val="false"/>
          <w:bCs w:val="false"/>
          <w:color w:val="000000"/>
          <w:sz w:val="28"/>
          <w:szCs w:val="28"/>
        </w:rPr>
        <w:t>1.</w:t>
      </w:r>
      <w:r>
        <w:rPr>
          <w:rStyle w:val="2"/>
          <w:rFonts w:cs="Tahoma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rFonts w:eastAsia="MS Gothic" w:cs="Tahoma"/>
          <w:b w:val="false"/>
          <w:bCs w:val="false"/>
          <w:color w:val="000000"/>
          <w:sz w:val="28"/>
          <w:szCs w:val="28"/>
        </w:rPr>
        <w:t>Предмет регулирования административного регламента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b w:val="false"/>
          <w:bCs w:val="false"/>
          <w:color w:val="000000"/>
        </w:rPr>
      </w:pPr>
      <w:r>
        <w:rPr>
          <w:b w:val="false"/>
          <w:bCs w:val="false"/>
          <w:color w:val="000000"/>
        </w:rPr>
      </w:r>
    </w:p>
    <w:p>
      <w:pPr>
        <w:pStyle w:val="Normal"/>
        <w:rPr/>
      </w:pPr>
      <w:r>
        <w:rPr/>
      </w:r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0" w:gutter="0" w:header="1134" w:top="1739" w:footer="0" w:bottom="1134"/>
          <w:pgNumType w:fmt="decimal"/>
          <w:formProt w:val="false"/>
          <w:titlePg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 xml:space="preserve">1.1. Настоящий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регламент, административный регламент</w:t>
      </w:r>
      <w:r>
        <w:rPr>
          <w:b w:val="false"/>
          <w:bCs w:val="false"/>
          <w:color w:val="000000"/>
          <w:sz w:val="28"/>
          <w:szCs w:val="28"/>
        </w:rPr>
        <w:t xml:space="preserve"> предоставления муниципальной услуги </w:t>
      </w:r>
      <w:r>
        <w:rPr>
          <w:b w:val="false"/>
          <w:bCs w:val="false"/>
          <w:color w:val="000000"/>
          <w:kern w:val="2"/>
          <w:sz w:val="28"/>
          <w:szCs w:val="28"/>
          <w:lang w:val="ru-RU" w:eastAsia="zh-CN" w:bidi="hi-IN"/>
        </w:rPr>
        <w:t>«Оформление справки об участии (неучастии) в приватизации жилых муниципальных помещений»</w:t>
      </w:r>
      <w:r>
        <w:rPr>
          <w:b w:val="false"/>
          <w:bCs w:val="false"/>
          <w:color w:val="000000"/>
          <w:sz w:val="28"/>
          <w:szCs w:val="28"/>
        </w:rPr>
        <w:t xml:space="preserve"> (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далее соответственно – Регламент, Услуга</w:t>
      </w:r>
      <w:r>
        <w:rPr>
          <w:b w:val="false"/>
          <w:bCs w:val="false"/>
          <w:color w:val="000000"/>
          <w:sz w:val="28"/>
          <w:szCs w:val="28"/>
        </w:rPr>
        <w:t>) регулирует отношения, возникающие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связи с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предоставлением Услуги </w:t>
      </w:r>
      <w:r>
        <w:rPr>
          <w:rStyle w:val="2"/>
          <w:b w:val="false"/>
          <w:bCs w:val="false"/>
          <w:i w:val="false"/>
          <w:iCs w:val="false"/>
          <w:color w:val="000000"/>
          <w:kern w:val="2"/>
          <w:sz w:val="28"/>
          <w:szCs w:val="28"/>
          <w:lang w:val="en-US" w:eastAsia="en-US" w:bidi="ar-SA"/>
        </w:rPr>
        <w:t>Администрацией городского округа Красногорск Московской области</w:t>
      </w:r>
      <w:r>
        <w:rPr>
          <w:b w:val="false"/>
          <w:bCs w:val="false"/>
          <w:color w:val="000000"/>
          <w:sz w:val="28"/>
          <w:szCs w:val="28"/>
        </w:rPr>
        <w:t xml:space="preserve"> (далее –</w:t>
      </w:r>
      <w:r>
        <w:rPr>
          <w:rStyle w:val="2"/>
          <w:rFonts w:eastAsia="Calibri"/>
          <w:b w:val="false"/>
          <w:bCs w:val="false"/>
          <w:i w:val="false"/>
          <w:iCs w:val="false"/>
          <w:color w:val="000000"/>
          <w:kern w:val="2"/>
          <w:sz w:val="28"/>
          <w:szCs w:val="28"/>
          <w:lang w:val="ru-RU" w:eastAsia="zh-CN" w:bidi="hi-IN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kern w:val="2"/>
          <w:sz w:val="28"/>
          <w:szCs w:val="28"/>
          <w:lang w:val="ru-RU" w:eastAsia="en-US" w:bidi="ar-SA"/>
        </w:rPr>
        <w:t>Администрация</w:t>
      </w:r>
      <w:r>
        <w:rPr>
          <w:b w:val="false"/>
          <w:bCs w:val="false"/>
          <w:color w:val="000000"/>
          <w:sz w:val="28"/>
          <w:szCs w:val="28"/>
        </w:rPr>
        <w:t>).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ru-RU"/>
        </w:rPr>
        <w:t>1.2. </w:t>
      </w:r>
      <w:r>
        <w:rPr>
          <w:b w:val="false"/>
          <w:bCs w:val="false"/>
          <w:color w:val="000000"/>
          <w:sz w:val="28"/>
          <w:szCs w:val="28"/>
        </w:rPr>
        <w:t>Перечень условных обозначений 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сокращений, используемых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Регламенте, приведен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Приложении 1</w:t>
      </w:r>
      <w:r>
        <w:rPr>
          <w:b w:val="false"/>
          <w:bCs w:val="false"/>
          <w:color w:val="000000"/>
          <w:sz w:val="28"/>
          <w:szCs w:val="28"/>
        </w:rPr>
        <w:t xml:space="preserve"> к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Регламенту.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1.</w:t>
      </w:r>
      <w:r>
        <w:rPr>
          <w:b w:val="false"/>
          <w:bCs w:val="false"/>
          <w:color w:val="000000"/>
          <w:sz w:val="28"/>
          <w:szCs w:val="28"/>
          <w:lang w:val="ru-RU"/>
        </w:rPr>
        <w:t>3</w:t>
      </w:r>
      <w:r>
        <w:rPr>
          <w:b w:val="false"/>
          <w:bCs w:val="false"/>
          <w:color w:val="000000"/>
          <w:sz w:val="28"/>
          <w:szCs w:val="28"/>
        </w:rPr>
        <w:t>. </w:t>
      </w:r>
      <w:r>
        <w:rPr>
          <w:b w:val="false"/>
          <w:bCs w:val="false"/>
          <w:color w:val="000000"/>
          <w:sz w:val="28"/>
          <w:szCs w:val="28"/>
          <w:lang w:val="en-US"/>
        </w:rPr>
        <w:t>Администрация</w:t>
      </w:r>
      <w:r>
        <w:rPr>
          <w:rStyle w:val="2"/>
          <w:rFonts w:cs="Tahoma"/>
          <w:b w:val="false"/>
          <w:bCs w:val="false"/>
          <w:color w:val="000000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вне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зависимости от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способа обращения заявителя за предоставлением Услуги, а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от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способа предоставления заявителю результата предоставления Услуги направляет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Личный кабинет заявителя на ЕПГУ сведения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ходе выполнения запроса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предоставлении Услуги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(далее – запрос) 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результат предоставления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1.4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Нормативные правовые акты,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 xml:space="preserve">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соответствии с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 xml:space="preserve">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которыми предоставляется Услуга: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1. 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Федеральный закон от 27.07.2006 № 152⁠-⁠ФЗ «О персональных данных».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2. 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Закон Российской Федерации от 04.07.1991 № 1541⁠-⁠I «О приватизации жилищного фонда в Российской Федерации».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3. 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Федеральный закон от 27.07.2010 № 210⁠-⁠ФЗ «Об организации предоставления государственных и муниципальных услуг».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4. 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Постановление Правительства Российской Федерации от 26.03.2016 № 236 «О требованиях к предоставлению в электронной форме государственных и муниципальных услуг».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5. 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Постановление Правительства Московской области от 31.10.2018 № 792/37 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sz w:val="28"/>
          <w:szCs w:val="28"/>
          <w:shd w:fill="auto" w:val="clear"/>
        </w:rPr>
      </w:pP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1.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6. </w:t>
      </w:r>
      <w:r>
        <w:rPr>
          <w:rStyle w:val="2"/>
          <w:b w:val="false"/>
          <w:bCs w:val="false"/>
          <w:strike w:val="false"/>
          <w:dstrike w:val="false"/>
          <w:color w:val="000000"/>
          <w:sz w:val="28"/>
          <w:szCs w:val="28"/>
          <w:shd w:fill="auto" w:val="clear"/>
          <w:lang w:val="ru-RU"/>
        </w:rPr>
        <w:t>Устав городского округа Красногорск Московской области (принят решением Совета депутатов городского округа Красногорск Московской области от 08.09.2017 №247/16).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</w:pPr>
      <w:r>
        <w:rPr>
          <w:b w:val="false"/>
          <w:bCs w:val="false"/>
          <w:color w:val="000000"/>
          <w:sz w:val="28"/>
          <w:szCs w:val="28"/>
          <w:shd w:fill="auto" w:val="clear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bookmarkStart w:id="1" w:name="_Toc125717090"/>
      <w:bookmarkEnd w:id="1"/>
      <w:r>
        <w:rPr>
          <w:b w:val="false"/>
          <w:bCs w:val="false"/>
          <w:color w:val="000000"/>
          <w:sz w:val="28"/>
          <w:szCs w:val="28"/>
        </w:rPr>
        <w:t>2.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Круг заявителей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color w:val="000000"/>
          <w:sz w:val="28"/>
          <w:szCs w:val="28"/>
          <w:lang w:val="zxx" w:eastAsia="zxx" w:bidi="zxx"/>
        </w:rPr>
        <w:t>2.1. Услуга предоставляется физическим лицам – гражданам Российской Федерации либо их уполномоченным представителям, обратившимся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Администрацию</w:t>
      </w:r>
      <w:r>
        <w:rPr>
          <w:color w:val="000000"/>
          <w:sz w:val="28"/>
          <w:szCs w:val="28"/>
          <w:lang w:val="zxx" w:eastAsia="zxx" w:bidi="zxx"/>
        </w:rPr>
        <w:t xml:space="preserve"> с запросом (далее – заявитель).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2.2. Услуга предоставляется категории заявителя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соответствии с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категориями (признаками) заявителей, указанными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Приложении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ru-RU" w:eastAsia="zxx" w:bidi="zxx"/>
        </w:rPr>
        <w:t xml:space="preserve">2 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к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Регламенту, сведения о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zxx"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которых размещаются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реестре услуг в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 w:eastAsia="zxx" w:bidi="zxx"/>
        </w:rPr>
        <w:t>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  <w:lang w:val="zxx" w:eastAsia="zxx" w:bidi="zxx"/>
        </w:rPr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</w:r>
    </w:p>
    <w:p>
      <w:pPr>
        <w:pStyle w:val="Heading1"/>
        <w:keepNext w:val="true"/>
        <w:spacing w:lineRule="auto" w:line="276" w:before="0" w:after="0"/>
        <w:ind w:firstLine="709" w:left="0" w:right="0"/>
        <w:jc w:val="center"/>
        <w:rPr/>
      </w:pPr>
      <w:bookmarkStart w:id="2" w:name="_Toc125717091"/>
      <w:bookmarkEnd w:id="2"/>
      <w:r>
        <w:rPr>
          <w:b w:val="false"/>
          <w:bCs w:val="false"/>
          <w:color w:val="000000"/>
          <w:sz w:val="28"/>
          <w:szCs w:val="28"/>
          <w:lang w:val="en-US"/>
        </w:rPr>
        <w:t>II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Стандарт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/>
      </w:pPr>
      <w:bookmarkStart w:id="3" w:name="_Toc125717092"/>
      <w:bookmarkEnd w:id="3"/>
      <w:r>
        <w:rPr>
          <w:b w:val="false"/>
          <w:bCs w:val="false"/>
          <w:color w:val="000000"/>
          <w:sz w:val="28"/>
          <w:szCs w:val="28"/>
        </w:rPr>
        <w:t>3.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>Наименование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3.1.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Услуга </w:t>
      </w:r>
      <w:r>
        <w:rPr>
          <w:b w:val="false"/>
          <w:bCs w:val="false"/>
          <w:color w:val="000000"/>
          <w:kern w:val="2"/>
          <w:sz w:val="28"/>
          <w:szCs w:val="28"/>
          <w:lang w:val="ru-RU" w:eastAsia="zh-CN" w:bidi="hi-IN"/>
        </w:rPr>
        <w:t>«Оформление справки об участии (неучастии) в приватизации жилых муниципальных помещений»</w:t>
      </w:r>
      <w:r>
        <w:rPr>
          <w:b w:val="false"/>
          <w:bCs w:val="false"/>
          <w:color w:val="000000"/>
          <w:sz w:val="28"/>
          <w:szCs w:val="28"/>
        </w:rPr>
        <w:t>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keepNext w:val="true"/>
        <w:spacing w:lineRule="auto" w:line="276" w:before="0" w:after="0"/>
        <w:ind w:firstLine="709" w:left="0" w:right="0"/>
        <w:jc w:val="center"/>
        <w:rPr>
          <w:rFonts w:eastAsia="MS Gothic" w:cs="Tahoma"/>
          <w:b w:val="false"/>
          <w:bCs w:val="false"/>
          <w:color w:val="000000"/>
          <w:sz w:val="28"/>
          <w:szCs w:val="28"/>
        </w:rPr>
      </w:pPr>
      <w:r>
        <w:rPr>
          <w:rFonts w:eastAsia="MS Gothic" w:cs="Tahoma"/>
          <w:b w:val="false"/>
          <w:bCs w:val="false"/>
          <w:color w:val="000000"/>
          <w:sz w:val="28"/>
          <w:szCs w:val="28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 w:eastAsia="MS Gothic" w:cs="Tahoma"/>
          <w:b w:val="false"/>
          <w:bCs w:val="false"/>
          <w:color w:val="000000"/>
          <w:sz w:val="28"/>
          <w:szCs w:val="28"/>
        </w:rPr>
      </w:pPr>
      <w:r>
        <w:rPr>
          <w:rFonts w:eastAsia="MS Gothic" w:cs="Tahoma"/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i w:val="false"/>
          <w:iCs w:val="false"/>
          <w:color w:val="000000"/>
          <w:sz w:val="28"/>
          <w:szCs w:val="28"/>
        </w:rPr>
        <w:t xml:space="preserve">4.1. Органом местного самоуправления муниципального образования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</w:rPr>
        <w:t>Московской</w:t>
      </w:r>
      <w:r>
        <w:rPr>
          <w:rStyle w:val="2"/>
          <w:b w:val="false"/>
          <w:bCs w:val="false"/>
          <w:i w:val="false"/>
          <w:i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</w:rPr>
        <w:t>области, ответственным за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</w:rPr>
        <w:t>предоставление Услуги, является Администрация.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 xml:space="preserve">4.2. Непосредственное предоставление Услуги осуществляют структурные </w:t>
      </w:r>
      <w:r>
        <w:rPr>
          <w:b w:val="false"/>
          <w:bCs w:val="false"/>
          <w:color w:val="000000"/>
          <w:sz w:val="28"/>
          <w:szCs w:val="28"/>
          <w:lang w:val="ru-RU"/>
        </w:rPr>
        <w:t>п</w:t>
      </w:r>
      <w:r>
        <w:rPr>
          <w:b w:val="false"/>
          <w:bCs w:val="false"/>
          <w:color w:val="000000"/>
          <w:sz w:val="28"/>
          <w:szCs w:val="28"/>
        </w:rPr>
        <w:t>одразделения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rStyle w:val="2"/>
          <w:b w:val="false"/>
          <w:bCs w:val="false"/>
          <w:i w:val="false"/>
          <w:iCs w:val="false"/>
          <w:color w:val="000000"/>
          <w:kern w:val="2"/>
          <w:sz w:val="28"/>
          <w:szCs w:val="28"/>
          <w:lang w:val="ru-RU" w:eastAsia="en-US" w:bidi="ar-SA"/>
        </w:rPr>
        <w:t>Администрации</w:t>
      </w:r>
      <w:r>
        <w:rPr>
          <w:rStyle w:val="2"/>
          <w:b w:val="false"/>
          <w:bCs w:val="false"/>
          <w:i w:val="false"/>
          <w:iCs w:val="false"/>
          <w:color w:val="000000"/>
          <w:kern w:val="2"/>
          <w:sz w:val="28"/>
          <w:szCs w:val="28"/>
          <w:lang w:val="en-US" w:eastAsia="en-US" w:bidi="ar-SA"/>
        </w:rPr>
        <w:t> </w:t>
      </w:r>
      <w:r>
        <w:rPr>
          <w:b w:val="false"/>
          <w:bCs w:val="false"/>
          <w:color w:val="000000"/>
          <w:kern w:val="2"/>
          <w:sz w:val="28"/>
          <w:szCs w:val="28"/>
          <w:lang w:val="ru-RU" w:eastAsia="zh-CN" w:bidi="hi-IN"/>
        </w:rPr>
        <w:t>–</w:t>
      </w:r>
      <w:r>
        <w:rPr>
          <w:b w:val="false"/>
          <w:bCs w:val="false"/>
          <w:color w:val="000000"/>
          <w:kern w:val="2"/>
          <w:sz w:val="28"/>
          <w:szCs w:val="28"/>
          <w:lang w:val="ru-RU" w:eastAsia="zh-CN" w:bidi="hi-IN"/>
        </w:rPr>
        <w:t> Отдел управления и распоряжения жилым муниципальным имуществом</w:t>
      </w:r>
      <w:r>
        <w:rPr>
          <w:b w:val="false"/>
          <w:bCs w:val="false"/>
          <w:i/>
          <w:color w:val="000000"/>
          <w:sz w:val="28"/>
          <w:szCs w:val="28"/>
        </w:rPr>
        <w:t>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>
          <w:b w:val="false"/>
          <w:bCs w:val="false"/>
          <w:color w:val="000000"/>
          <w:sz w:val="28"/>
          <w:szCs w:val="28"/>
        </w:rPr>
      </w:pPr>
      <w:bookmarkStart w:id="4" w:name="_Toc125717094"/>
      <w:bookmarkEnd w:id="4"/>
      <w:r>
        <w:rPr>
          <w:b w:val="false"/>
          <w:bCs w:val="false"/>
          <w:color w:val="000000"/>
          <w:sz w:val="28"/>
          <w:szCs w:val="28"/>
        </w:rPr>
        <w:t>5. Результат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5.1. Результатом предоставления Услуги является: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5.1.1. 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Решение о предоставлении Услуги в виде документа «Справка об участии (неучастии) в приватизации жилых муниципальных помещений», который оформляется в соответствии с Приложением 3 к Регламенту</w:t>
      </w:r>
      <w:r>
        <w:rPr>
          <w:b w:val="false"/>
          <w:bCs w:val="false"/>
          <w:color w:val="000000"/>
          <w:sz w:val="28"/>
          <w:szCs w:val="28"/>
          <w:lang w:val="zxx" w:eastAsia="zxx" w:bidi="zxx"/>
        </w:rPr>
        <w:t>.</w:t>
      </w: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color w:val="000000"/>
          <w:sz w:val="28"/>
          <w:szCs w:val="28"/>
        </w:rPr>
        <w:t>5.1.2. Решение об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отказе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предоставлении Услуги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  <w:lang w:val="ru-RU"/>
        </w:rPr>
        <w:t xml:space="preserve">виде </w:t>
      </w:r>
      <w:bookmarkStart w:id="5" w:name="__DdeLink__10187_4049845439"/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val="ru-RU" w:eastAsia="zxx" w:bidi="zxx"/>
        </w:rPr>
        <w:t>документа</w:t>
      </w:r>
      <w:bookmarkEnd w:id="5"/>
      <w:r>
        <w:rPr>
          <w:color w:val="000000"/>
          <w:sz w:val="28"/>
          <w:szCs w:val="28"/>
          <w:lang w:val="ru-RU"/>
        </w:rPr>
        <w:t>, который</w:t>
      </w:r>
      <w:r>
        <w:rPr>
          <w:color w:val="000000"/>
          <w:sz w:val="28"/>
          <w:szCs w:val="28"/>
        </w:rPr>
        <w:t xml:space="preserve"> оформляется в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color w:val="000000"/>
          <w:sz w:val="28"/>
          <w:szCs w:val="28"/>
        </w:rPr>
        <w:t>соответствии с</w:t>
      </w:r>
      <w:r>
        <w:rPr>
          <w:rStyle w:val="2"/>
          <w:b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 </w:t>
      </w:r>
      <w:r>
        <w:rPr>
          <w:color w:val="000000"/>
          <w:sz w:val="28"/>
          <w:szCs w:val="28"/>
          <w:shd w:fill="auto" w:val="clear"/>
        </w:rPr>
        <w:t>Приложением 4</w:t>
      </w:r>
      <w:r>
        <w:rPr>
          <w:color w:val="000000"/>
          <w:sz w:val="28"/>
          <w:szCs w:val="28"/>
        </w:rPr>
        <w:t xml:space="preserve"> к 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 </w:t>
      </w:r>
      <w:r>
        <w:rPr>
          <w:rStyle w:val="Style1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zxx" w:bidi="zxx"/>
        </w:rPr>
        <w:t>Перечень способов получения результата (результатов) предоставления Услуги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: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.1. в форме электронного документа в Личный кабинет на РПГУ. Результат предоставления Услуги (независимо от принятого решения) направляется в день его подписания заявителю в Личный кабинет на РПГУ в 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.2. в МФЦ в виде распечатанного на бумажном носителе экземпляра электронного документа. В любом МФЦ в пределах территории Московской области заявителю обеспечена возможность получения результата предоставления Услуги в виде распечатанного на 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 этом случае работником МФЦ распечатывается из Модуля МФЦ ЕИС ОУ на бумажном носителе экземпляр электронного документа, который заверяется подписью уполномоченного работника МФЦ и печатью МФЦ;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5.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2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.3. в Администрации на бумажном носителе либо почтовым отправлением в зависимости от способа обращения за предоставлением Услуги. В случае неистребования заявителем результата предоставления Услуги в Администрации на бумажном носителе в течение 30 (тридцати) календарных дней, результат предоставления Услуги направляется почтовым отправлением по адресу, указанному в запросе.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Heading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</w:r>
    </w:p>
    <w:p>
      <w:pPr>
        <w:pStyle w:val="Heading"/>
        <w:spacing w:lineRule="auto" w:line="276" w:before="0" w:after="0"/>
        <w:ind w:firstLine="709" w:left="0" w:right="0"/>
        <w:jc w:val="center"/>
        <w:rPr/>
      </w:pPr>
      <w:bookmarkStart w:id="6" w:name="_Toc125717095"/>
      <w:bookmarkEnd w:id="6"/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6.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Срок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6.1.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eastAsia="en-US" w:bidi="ar-SA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 xml:space="preserve">Максимальный срок предоставления Услуги составляет 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zxx" w:eastAsia="en-US" w:bidi="ar-SA"/>
        </w:rPr>
        <w:t>3 (три) рабочих дня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 xml:space="preserve"> со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дня регистрации запроса вне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зависимости от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категории (признаков) заявителя и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eastAsia="en-US" w:bidi="ar-SA"/>
        </w:rPr>
        <w:t>способа подачи запроса.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bookmarkStart w:id="7" w:name="_Toc125717100"/>
      <w:bookmarkEnd w:id="7"/>
      <w:r>
        <w:rPr>
          <w:b w:val="false"/>
          <w:bCs w:val="false"/>
          <w:color w:val="000000"/>
          <w:sz w:val="28"/>
          <w:szCs w:val="28"/>
        </w:rPr>
        <w:t>7.</w:t>
      </w:r>
      <w:r>
        <w:rPr>
          <w:b w:val="false"/>
          <w:bCs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Размер платы, взимаемой с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заявителя</w:t>
      </w: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r>
        <w:rPr>
          <w:b w:val="false"/>
          <w:bCs w:val="false"/>
          <w:color w:val="000000"/>
          <w:sz w:val="28"/>
          <w:szCs w:val="28"/>
        </w:rPr>
        <w:t>при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предоставлении Услуги, и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способы ее</w:t>
      </w:r>
      <w:r>
        <w:rPr>
          <w:b w:val="false"/>
          <w:bCs w:val="false"/>
          <w:strike w:val="false"/>
          <w:dstrike w:val="false"/>
          <w:color w:val="000000"/>
          <w:sz w:val="28"/>
          <w:szCs w:val="28"/>
          <w:lang w:val="ru-RU"/>
        </w:rPr>
        <w:t> </w:t>
      </w:r>
      <w:r>
        <w:rPr>
          <w:b w:val="false"/>
          <w:bCs w:val="false"/>
          <w:color w:val="000000"/>
          <w:sz w:val="28"/>
          <w:szCs w:val="28"/>
        </w:rPr>
        <w:t>взимания</w:t>
      </w:r>
    </w:p>
    <w:p>
      <w:pPr>
        <w:pStyle w:val="BodyText"/>
        <w:bidi w:val="0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7.1. Услуга предоставляется бесплатно.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r>
        <w:rPr>
          <w:b w:val="false"/>
          <w:bCs w:val="false"/>
          <w:color w:val="000000"/>
          <w:sz w:val="28"/>
          <w:szCs w:val="28"/>
          <w:lang w:val="ru-RU"/>
        </w:rPr>
        <w:t>8</w:t>
      </w:r>
      <w:r>
        <w:rPr>
          <w:b w:val="false"/>
          <w:bCs w:val="false"/>
          <w:color w:val="000000"/>
          <w:sz w:val="28"/>
          <w:szCs w:val="28"/>
        </w:rPr>
        <w:t>. Максимальный срок ожидания в очереди при подаче заявителем запроса и при получении результата предоставления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</w:rPr>
        <w:t>. Срок регистрации запроса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/>
        </w:rPr>
        <w:t>9</w:t>
      </w:r>
      <w:r>
        <w:rPr>
          <w:b w:val="false"/>
          <w:bCs w:val="false"/>
          <w:color w:val="000000"/>
          <w:sz w:val="28"/>
          <w:szCs w:val="28"/>
        </w:rPr>
        <w:t>.1. Срок регистрации запроса в 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Администрации</w:t>
      </w:r>
      <w:r>
        <w:rPr>
          <w:b w:val="false"/>
          <w:bCs w:val="false"/>
          <w:color w:val="000000"/>
          <w:sz w:val="28"/>
          <w:szCs w:val="28"/>
        </w:rPr>
        <w:t xml:space="preserve"> в случае,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если он подан: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9.1.1. в электронной форме посредством РПГУ до 16:00 рабочего дня ⁠–⁠ в день его подачи, после 16:00 рабочего дня либо в нерабочий день ⁠–⁠ на следующий рабочий день. При подаче запроса посредством РПГУ заявитель авторизуется на РПГУ посредством подтвержденной учетной записи в ЕСИА. При 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 подписание запроса);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9.1.2. лично в Администрацию ⁠–⁠ в день обращения. При подаче запроса в 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  <w:t>9.1.3. почтовым отправлением ⁠–⁠ не позднее следующего рабочего дня после его поступления. При подаче запроса почтовым отправлением в Администрацию, 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 соответствии с 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>
      <w:pPr>
        <w:pStyle w:val="BodyText"/>
        <w:spacing w:lineRule="auto" w:line="276" w:before="0" w:after="0"/>
        <w:ind w:firstLine="709" w:left="0" w:right="0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r>
        <w:rPr>
          <w:b w:val="false"/>
          <w:bCs w:val="false"/>
          <w:color w:val="000000"/>
          <w:sz w:val="28"/>
          <w:szCs w:val="28"/>
          <w:lang w:val="en-US"/>
        </w:rPr>
        <w:t>10</w:t>
      </w:r>
      <w:r>
        <w:rPr>
          <w:b w:val="false"/>
          <w:bCs w:val="false"/>
          <w:color w:val="000000"/>
          <w:sz w:val="28"/>
          <w:szCs w:val="28"/>
        </w:rPr>
        <w:t>. Требования к помещениям, в которых предоставляются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/>
        </w:rPr>
        <w:t>10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/>
        </w:rPr>
        <w:t>1</w:t>
      </w:r>
      <w:r>
        <w:rPr>
          <w:b w:val="false"/>
          <w:bCs w:val="false"/>
          <w:color w:val="000000"/>
          <w:sz w:val="28"/>
          <w:szCs w:val="28"/>
        </w:rPr>
        <w:t xml:space="preserve">. Требования к помещениям, в которых предоставляются Услуги, размещаются на официальном 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сайте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ru-RU" w:eastAsia="en-US" w:bidi="ar-SA"/>
        </w:rPr>
        <w:t>Администрации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 xml:space="preserve">, 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РПГУ.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Style w:val="Style12"/>
          <w:color w:val="000000"/>
        </w:rPr>
      </w:pPr>
      <w:r>
        <w:rPr>
          <w:color w:val="000000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r>
        <w:rPr>
          <w:b w:val="false"/>
          <w:bCs w:val="false"/>
          <w:color w:val="000000"/>
          <w:sz w:val="28"/>
          <w:szCs w:val="28"/>
          <w:lang w:val="en-US"/>
        </w:rPr>
        <w:t>11</w:t>
      </w:r>
      <w:r>
        <w:rPr>
          <w:b w:val="false"/>
          <w:bCs w:val="false"/>
          <w:color w:val="000000"/>
          <w:sz w:val="28"/>
          <w:szCs w:val="28"/>
        </w:rPr>
        <w:t>. Показатели качества и доступности Услуги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b w:val="false"/>
          <w:bCs w:val="false"/>
          <w:color w:val="000000"/>
          <w:sz w:val="28"/>
          <w:szCs w:val="28"/>
          <w:lang w:val="en-US"/>
        </w:rPr>
        <w:t>11</w:t>
      </w:r>
      <w:r>
        <w:rPr>
          <w:rStyle w:val="Style12"/>
          <w:b w:val="false"/>
          <w:bCs w:val="false"/>
          <w:color w:val="000000"/>
          <w:sz w:val="28"/>
          <w:szCs w:val="28"/>
        </w:rPr>
        <w:t xml:space="preserve">.1. Показатели качества и доступности Услуги размещаются на официальном сайте 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Администрации</w:t>
      </w:r>
      <w:r>
        <w:rPr>
          <w:rStyle w:val="Style12"/>
          <w:b w:val="false"/>
          <w:bCs w:val="false"/>
          <w:color w:val="000000"/>
          <w:sz w:val="28"/>
          <w:szCs w:val="28"/>
        </w:rPr>
        <w:t>, а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</w:rPr>
        <w:t xml:space="preserve">также на </w:t>
      </w:r>
      <w:r>
        <w:rPr>
          <w:rStyle w:val="Style12"/>
          <w:b w:val="false"/>
          <w:bCs w:val="false"/>
          <w:color w:val="000000"/>
          <w:sz w:val="28"/>
          <w:szCs w:val="28"/>
          <w:lang w:val="ru-RU" w:eastAsia="zxx" w:bidi="zxx"/>
        </w:rPr>
        <w:t>РПГУ</w:t>
      </w:r>
      <w:r>
        <w:rPr>
          <w:rStyle w:val="Style12"/>
          <w:b w:val="false"/>
          <w:bCs w:val="false"/>
          <w:color w:val="000000"/>
          <w:sz w:val="28"/>
          <w:szCs w:val="28"/>
        </w:rPr>
        <w:t>.</w:t>
      </w:r>
    </w:p>
    <w:p>
      <w:pPr>
        <w:pStyle w:val="BodyText"/>
        <w:spacing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r>
        <w:rPr>
          <w:b w:val="false"/>
          <w:bCs w:val="false"/>
          <w:color w:val="000000"/>
          <w:sz w:val="28"/>
          <w:szCs w:val="28"/>
          <w:lang w:val="en-US"/>
        </w:rPr>
        <w:t>12</w:t>
      </w:r>
      <w:r>
        <w:rPr>
          <w:b w:val="false"/>
          <w:bCs w:val="false"/>
          <w:color w:val="000000"/>
          <w:sz w:val="28"/>
          <w:szCs w:val="28"/>
        </w:rPr>
        <w:t>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.1. Услуги, которые являются необходимыми и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обязательными для предоставления Услуги, отсутствуют.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 Информационные системы, используемые для предоставления Услуги: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.2.1. ВИС;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.2.2. РПГУ;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.2.3. Модуль МФЦ ЕИС ОУ.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</w:rPr>
        <w:t>. Особенности предоставления Услуги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МФЦ.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12.3.1.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Предоставление бесплатного доступа к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подачи запросов, 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получения Услуги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электронной форме, 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получение результата предоставления Услуги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выбору заявителя независимо от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его места жительства или места пребывания (для физических лиц).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12.3.2.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Предоставление Услуги в МФЦ осуществляется в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соответствии Федеральным законом </w:t>
      </w:r>
      <w:r>
        <w:rPr>
          <w:b w:val="false"/>
          <w:bCs w:val="false"/>
          <w:color w:val="000000"/>
          <w:kern w:val="2"/>
          <w:sz w:val="28"/>
          <w:szCs w:val="28"/>
        </w:rPr>
        <w:t>о</w:t>
      </w:r>
      <w:r>
        <w:rPr>
          <w:b w:val="false"/>
          <w:bCs w:val="false"/>
          <w:color w:val="000000"/>
          <w:sz w:val="28"/>
          <w:szCs w:val="28"/>
        </w:rPr>
        <w:t>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27.07.2010 №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210-ФЗ «Об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Федерации от 22.12.2012 № 1376 «Об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утверждении Правил организации деятельности многофункциональных центров предоставления государственных и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муниципальных услуг», а также в соответствии с соглашением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взаимодействии, которое заключается между</w:t>
      </w:r>
      <w:r>
        <w:rPr>
          <w:b w:val="false"/>
          <w:bCs w:val="false"/>
          <w:color w:val="000000"/>
          <w:sz w:val="28"/>
          <w:szCs w:val="28"/>
          <w:lang w:val="ru-RU"/>
        </w:rPr>
        <w:t xml:space="preserve">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Администрацией и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Государственным казенным учреждением Московской области «Центр компетенций госуправления» в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порядке, установленном законодательством Российской</w:t>
      </w:r>
      <w:r>
        <w:rPr>
          <w:rStyle w:val="Style12"/>
          <w:b w:val="false"/>
          <w:bCs w:val="false"/>
          <w:i w:val="false"/>
          <w:i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Федерации.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.3. </w:t>
      </w:r>
      <w:r>
        <w:rPr>
          <w:b w:val="false"/>
          <w:bCs w:val="false"/>
          <w:color w:val="000000"/>
          <w:sz w:val="28"/>
          <w:szCs w:val="28"/>
        </w:rPr>
        <w:t>Информирование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консультирование заявителей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порядке предоставления Услуги, ходе рассмотрения запросов, 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также 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иным вопросам, связанным с предоставлением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Услуги,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МФЦ осуществляются бесплатно.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.4. </w:t>
      </w:r>
      <w:r>
        <w:rPr>
          <w:b w:val="false"/>
          <w:bCs w:val="false"/>
          <w:color w:val="000000"/>
          <w:sz w:val="28"/>
          <w:szCs w:val="28"/>
        </w:rPr>
        <w:t>Перечень МФЦ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 размещен на РПГУ.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3</w:t>
      </w:r>
      <w:r>
        <w:rPr>
          <w:b w:val="false"/>
          <w:bCs w:val="false"/>
          <w:color w:val="000000"/>
          <w:sz w:val="28"/>
          <w:szCs w:val="28"/>
          <w:lang w:val="en-US"/>
        </w:rPr>
        <w:t>.5. </w:t>
      </w:r>
      <w:r>
        <w:rPr>
          <w:b w:val="false"/>
          <w:bCs w:val="false"/>
          <w:color w:val="000000"/>
          <w:sz w:val="28"/>
          <w:szCs w:val="28"/>
        </w:rPr>
        <w:t>В МФЦ исключается</w:t>
      </w:r>
      <w:r>
        <w:rPr>
          <w:b w:val="false"/>
          <w:bCs w:val="false"/>
          <w:color w:val="000000"/>
          <w:position w:val="9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взаимодействие заявителя с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должностными лицами </w:t>
      </w:r>
      <w:r>
        <w:rPr>
          <w:rStyle w:val="2"/>
          <w:b w:val="false"/>
          <w:bCs w:val="false"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Администрации</w:t>
      </w:r>
      <w:r>
        <w:rPr>
          <w:b w:val="false"/>
          <w:bCs w:val="false"/>
          <w:color w:val="000000"/>
          <w:sz w:val="28"/>
          <w:szCs w:val="28"/>
        </w:rPr>
        <w:t>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shd w:fill="auto" w:val="clear"/>
        </w:rPr>
        <w:t>12.3.6.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При предоставлении Услуги в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МФЦ, при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выдаче результата предоставления Услуги в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shd w:fill="auto" w:val="clear"/>
          <w:lang w:val="ru-RU"/>
        </w:rPr>
        <w:t>МФЦ работникам МФЦ</w:t>
      </w:r>
      <w:r>
        <w:rPr>
          <w:b w:val="false"/>
          <w:bCs w:val="false"/>
          <w:color w:val="000000"/>
          <w:sz w:val="28"/>
          <w:szCs w:val="28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ru-RU"/>
        </w:rPr>
        <w:t>запрещается</w:t>
      </w:r>
      <w:r>
        <w:rPr>
          <w:b w:val="false"/>
          <w:bCs w:val="false"/>
          <w:color w:val="000000"/>
          <w:sz w:val="28"/>
          <w:szCs w:val="28"/>
        </w:rPr>
        <w:t xml:space="preserve"> требовать от заявителя предоставления документов, информации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осуществления действий, предусмотренных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частью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3 статьи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16 Федерального закона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№ 210-ФЗ.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. Особенности предоставления Услуги в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электронной форме: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.1. При подаче запроса посредством РПГУ заполняется его интерактивная форма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карточке Услуги на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 с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приложением электронных образов документов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(или) указанием сведений из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предоставления Услуги.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.2. Информирование заявителей 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на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РПГУ, сервиса РПГУ «Узнать статус заявления», информирование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консультирование заявителей так же осуществляется по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бесплатному единому номеру телефона Электронной приёмной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 +7 (800) 550-50-30.</w:t>
      </w: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12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4</w:t>
      </w:r>
      <w:r>
        <w:rPr>
          <w:b w:val="false"/>
          <w:bCs w:val="false"/>
          <w:color w:val="000000"/>
          <w:sz w:val="28"/>
          <w:szCs w:val="28"/>
        </w:rPr>
        <w:t>.3. Требования к форматам запросов 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иных документов, представляемых в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форме электронных документов, необходимых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для предоставления государственных и муниципальных услуг на 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области, утверждены постановлением Правительства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</w:rPr>
        <w:t>от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 xml:space="preserve">31.10.2018 № 792/37 </w:t>
      </w:r>
      <w:bookmarkStart w:id="8" w:name="_Hlk22122561_Копия_1"/>
      <w:bookmarkEnd w:id="8"/>
      <w:r>
        <w:rPr>
          <w:b w:val="false"/>
          <w:bCs w:val="false"/>
          <w:color w:val="000000"/>
          <w:sz w:val="28"/>
          <w:szCs w:val="28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>
        <w:rPr>
          <w:b w:val="false"/>
          <w:bCs w:val="false"/>
          <w:color w:val="000000"/>
          <w:sz w:val="28"/>
          <w:szCs w:val="28"/>
          <w:lang w:val="en-US"/>
        </w:rPr>
        <w:t> </w:t>
      </w:r>
      <w:r>
        <w:rPr>
          <w:b w:val="false"/>
          <w:bCs w:val="false"/>
          <w:color w:val="000000"/>
          <w:sz w:val="28"/>
          <w:szCs w:val="28"/>
        </w:rPr>
        <w:t>предоставления государственных и муниципальных услуг на территории Московской</w:t>
      </w:r>
      <w:r>
        <w:rPr>
          <w:rStyle w:val="Style12"/>
          <w:b w:val="false"/>
          <w:bCs w:val="false"/>
          <w:color w:val="000000"/>
          <w:sz w:val="28"/>
          <w:szCs w:val="28"/>
        </w:rPr>
        <w:t> </w:t>
      </w:r>
      <w:r>
        <w:rPr>
          <w:b w:val="false"/>
          <w:bCs w:val="false"/>
          <w:color w:val="000000"/>
          <w:sz w:val="28"/>
          <w:szCs w:val="28"/>
        </w:rPr>
        <w:t>области».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</w:r>
    </w:p>
    <w:p>
      <w:pPr>
        <w:pStyle w:val="Style17"/>
        <w:jc w:val="center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 Исчерпывающий перечень документов,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необходимых для предоставления Услуги</w:t>
      </w:r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.1.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Исчерпывающий перечень документов, а также перечень способов подачи запроса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предоставления Услуги, приведены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Приложении 5 к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13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.2.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 xml:space="preserve">Форма запроса приведена в Приложении 6 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к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Регламенту.</w:t>
      </w:r>
    </w:p>
    <w:p>
      <w:pPr>
        <w:pStyle w:val="Style17"/>
        <w:ind w:firstLine="709" w:left="40" w:right="0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17"/>
        <w:ind w:firstLine="709" w:left="40" w:right="0"/>
        <w:jc w:val="center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приеме запроса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предоставления Услуги, 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приостановления предоставления Услуги или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для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предоставлении Услуги</w:t>
      </w:r>
    </w:p>
    <w:p>
      <w:pPr>
        <w:pStyle w:val="Style17"/>
        <w:ind w:firstLine="709" w:left="40" w:right="0"/>
        <w:jc w:val="center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приеме запроса и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документов, необходимых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предоставления Услуги: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заявителем представлен неполный комплект документов, необходимых для предоставления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 xml:space="preserve">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 xml:space="preserve">отдельными графическими материалами, представленными в составе одного запроса; 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 xml:space="preserve">отдельными текстовыми материалами, представленными в составе одного запроса; 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 xml:space="preserve">отдельными графическими и отдельными текстовыми материалами, представленными в составе одного запроса; </w:t>
      </w:r>
    </w:p>
    <w:p>
      <w:pPr>
        <w:pStyle w:val="BodyText"/>
        <w:spacing w:lineRule="auto" w:line="276" w:before="0" w:after="0"/>
        <w:ind w:firstLine="709" w:left="0" w:right="0"/>
        <w:jc w:val="both"/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</w:pPr>
      <w:r>
        <w:rPr>
          <w:b w:val="false"/>
          <w:bCs w:val="false"/>
          <w:color w:val="000000"/>
          <w:sz w:val="28"/>
          <w:szCs w:val="28"/>
          <w:shd w:fill="auto" w:val="clear"/>
          <w:lang w:val="en-US"/>
        </w:rPr>
        <w:t>сведениями, указанными в запросе и текстовыми, графическими материалами, представленными в составе одного запроса;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5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6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обращение за предоставлением иной услуги;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7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8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9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некорректное заполнение обязательных полей в запросе;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10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ru-RU"/>
        </w:rPr>
        <w:t>.</w:t>
      </w:r>
      <w:r>
        <w:rPr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  <w:lang w:val="ru-RU"/>
        </w:rPr>
        <w:t>Решение об отказе в приеме документов, необходимых для предоставления Услуги, оформляется в соответствии с Приложением 7</w:t>
      </w:r>
      <w:r>
        <w:rPr>
          <w:b w:val="false"/>
          <w:bCs w:val="false"/>
          <w:color w:val="000000"/>
          <w:sz w:val="28"/>
          <w:szCs w:val="28"/>
          <w:lang w:val="en-US"/>
        </w:rPr>
        <w:t xml:space="preserve"> </w:t>
      </w:r>
      <w:r>
        <w:rPr>
          <w:b w:val="false"/>
          <w:bCs w:val="false"/>
          <w:color w:val="000000"/>
          <w:sz w:val="28"/>
          <w:szCs w:val="28"/>
          <w:lang w:val="ru-RU"/>
        </w:rPr>
        <w:t>к </w:t>
      </w:r>
      <w:r>
        <w:rPr>
          <w:b w:val="false"/>
          <w:bCs w:val="false"/>
          <w:i w:val="false"/>
          <w:iCs w:val="false"/>
          <w:color w:val="000000"/>
          <w:sz w:val="28"/>
          <w:szCs w:val="28"/>
          <w:lang w:val="ru-RU" w:eastAsia="zxx" w:bidi="zxx"/>
        </w:rPr>
        <w:t>Регламенту.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3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Основания для приостановления предоставления Услуги отсутствуют.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Исчерпывающий перечень оснований для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отказа в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предоставлении Услуги: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категории заявителя кругу лиц, указанных в Приложении 2 к Регламенту;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3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Normal"/>
        <w:spacing w:lineRule="auto" w:line="276" w:before="0" w:after="0"/>
        <w:ind w:firstLine="709" w:left="0" w:right="0"/>
        <w:jc w:val="both"/>
        <w:rPr/>
      </w:pP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14</w:t>
      </w:r>
      <w:r>
        <w:rPr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.</w:t>
      </w:r>
      <w:r>
        <w:rPr>
          <w:rStyle w:val="Style12"/>
          <w:rFonts w:cs="Mangal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en-US"/>
        </w:rPr>
        <w:t>4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.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/>
        </w:rPr>
        <w:t> 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  <w:shd w:fill="auto" w:val="clear"/>
        </w:rPr>
        <w:t>отзыв запроса по инициативе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ind w:firstLine="709" w:left="40" w:right="0"/>
        <w:rPr/>
      </w:pP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5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В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Приложении 8 к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 xml:space="preserve">Регламенту приведены основания, предусмотренные пунктами 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.1</w:t>
      </w:r>
      <w:r>
        <w:rPr>
          <w:rStyle w:val="Style12"/>
          <w:color w:val="000000"/>
          <w:sz w:val="28"/>
          <w:szCs w:val="28"/>
          <w:lang w:val="en-US" w:eastAsia="zxx" w:bidi="zxx"/>
        </w:rPr>
        <w:t>-</w:t>
      </w:r>
      <w:r>
        <w:rPr>
          <w:rStyle w:val="Style12"/>
          <w:b w:val="false"/>
          <w:bCs w:val="false"/>
          <w:color w:val="000000"/>
          <w:sz w:val="28"/>
          <w:szCs w:val="28"/>
          <w:lang w:val="en-US" w:eastAsia="zxx" w:bidi="zxx"/>
        </w:rPr>
        <w:t>14</w:t>
      </w:r>
      <w:r>
        <w:rPr>
          <w:rStyle w:val="Style12"/>
          <w:color w:val="000000"/>
          <w:sz w:val="28"/>
          <w:szCs w:val="28"/>
        </w:rPr>
        <w:t>.</w:t>
      </w: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4</w:t>
      </w:r>
      <w:r>
        <w:rPr>
          <w:rStyle w:val="Style12"/>
          <w:color w:val="000000"/>
          <w:sz w:val="28"/>
          <w:szCs w:val="28"/>
        </w:rPr>
        <w:t xml:space="preserve"> Регламента с</w:t>
      </w:r>
      <w:r>
        <w:rPr>
          <w:rStyle w:val="Style12"/>
          <w:color w:val="000000"/>
          <w:sz w:val="28"/>
          <w:szCs w:val="28"/>
          <w:lang w:val="en-US" w:eastAsia="zxx" w:bidi="zxx"/>
        </w:rPr>
        <w:t> </w:t>
      </w:r>
      <w:r>
        <w:rPr>
          <w:rStyle w:val="Style12"/>
          <w:color w:val="000000"/>
          <w:sz w:val="28"/>
          <w:szCs w:val="28"/>
        </w:rPr>
        <w:t>учетом категории (признаков)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ind w:firstLine="709" w:left="40" w:right="0"/>
        <w:jc w:val="center"/>
        <w:rPr>
          <w:rFonts w:ascii="Times New Roman" w:hAnsi="Times New Roman"/>
          <w:color w:val="000000"/>
        </w:rPr>
      </w:pPr>
      <w:r>
        <w:rPr>
          <w:color w:val="000000"/>
        </w:rPr>
      </w:r>
    </w:p>
    <w:p>
      <w:pPr>
        <w:pStyle w:val="Heading1"/>
        <w:spacing w:lineRule="auto" w:line="276" w:before="0" w:after="0"/>
        <w:ind w:firstLine="709" w:left="0" w:right="0"/>
        <w:jc w:val="center"/>
        <w:rPr/>
      </w:pPr>
      <w:bookmarkStart w:id="9" w:name="_Toc125717106_Копия_1"/>
      <w:bookmarkEnd w:id="9"/>
      <w:r>
        <w:rPr>
          <w:b w:val="false"/>
          <w:bCs w:val="false"/>
          <w:color w:val="000000"/>
          <w:sz w:val="28"/>
          <w:szCs w:val="28"/>
          <w:lang w:val="en-US"/>
        </w:rPr>
        <w:t>III</w:t>
      </w:r>
      <w:r>
        <w:rPr>
          <w:b w:val="false"/>
          <w:bCs w:val="false"/>
          <w:color w:val="000000"/>
          <w:sz w:val="28"/>
          <w:szCs w:val="28"/>
        </w:rPr>
        <w:t>.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Состав, последовательность</w:t>
      </w:r>
    </w:p>
    <w:p>
      <w:pPr>
        <w:pStyle w:val="Heading1"/>
        <w:spacing w:lineRule="auto" w:line="276" w:before="0" w:after="0"/>
        <w:ind w:firstLine="709" w:left="0" w:right="0"/>
        <w:jc w:val="center"/>
        <w:rPr/>
      </w:pPr>
      <w:r>
        <w:rPr>
          <w:b w:val="false"/>
          <w:bCs w:val="false"/>
          <w:color w:val="000000"/>
          <w:sz w:val="28"/>
          <w:szCs w:val="28"/>
        </w:rPr>
        <w:t>и</w:t>
      </w:r>
      <w:r>
        <w:rPr>
          <w:b w:val="false"/>
          <w:bCs w:val="false"/>
          <w:color w:val="000000"/>
          <w:sz w:val="28"/>
          <w:szCs w:val="28"/>
          <w:lang w:val="en-US" w:eastAsia="zxx" w:bidi="zxx"/>
        </w:rPr>
        <w:t> </w:t>
      </w:r>
      <w:r>
        <w:rPr>
          <w:b w:val="false"/>
          <w:bCs w:val="false"/>
          <w:color w:val="000000"/>
          <w:sz w:val="28"/>
          <w:szCs w:val="28"/>
        </w:rPr>
        <w:t>сроки выполнения административных процедур</w:t>
      </w:r>
    </w:p>
    <w:p>
      <w:pPr>
        <w:pStyle w:val="BodyText"/>
        <w:spacing w:lineRule="auto" w:line="276" w:before="0" w:after="0"/>
        <w:ind w:firstLine="709" w:left="0" w:right="0"/>
        <w:jc w:val="center"/>
        <w:rPr>
          <w:rFonts w:ascii="Times New Roman" w:hAnsi="Times New Roman"/>
          <w:b w:val="false"/>
          <w:bCs w:val="false"/>
          <w:color w:val="000000"/>
          <w:sz w:val="28"/>
          <w:szCs w:val="28"/>
          <w:lang w:val="en-US"/>
        </w:rPr>
      </w:pPr>
      <w:r>
        <w:rPr>
          <w:b w:val="false"/>
          <w:bCs w:val="false"/>
          <w:color w:val="000000"/>
          <w:sz w:val="28"/>
          <w:szCs w:val="28"/>
          <w:lang w:val="en-US"/>
        </w:rPr>
      </w:r>
    </w:p>
    <w:p>
      <w:pPr>
        <w:pStyle w:val="Heading2"/>
        <w:spacing w:lineRule="auto" w:line="276" w:before="0" w:after="0"/>
        <w:ind w:firstLine="709" w:left="0" w:right="0"/>
        <w:jc w:val="center"/>
        <w:rPr/>
      </w:pPr>
      <w:r>
        <w:rPr>
          <w:rStyle w:val="Style12"/>
          <w:rFonts w:cs="Mangal"/>
          <w:b w:val="false"/>
          <w:bCs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b w:val="false"/>
          <w:bCs w:val="false"/>
          <w:color w:val="000000"/>
          <w:sz w:val="28"/>
          <w:szCs w:val="28"/>
          <w:shd w:fill="auto" w:val="clear"/>
        </w:rPr>
        <w:t>. </w:t>
      </w:r>
      <w:r>
        <w:rPr>
          <w:rStyle w:val="Style12"/>
          <w:b w:val="false"/>
          <w:bCs w:val="false"/>
          <w:color w:val="000000"/>
          <w:sz w:val="28"/>
          <w:szCs w:val="28"/>
          <w:shd w:fill="auto" w:val="clear"/>
        </w:rPr>
        <w:t>Перечень осуществляемых при предоставлении Услуги административных процедур</w:t>
      </w:r>
    </w:p>
    <w:p>
      <w:pPr>
        <w:pStyle w:val="BodyText"/>
        <w:spacing w:before="0" w:after="0"/>
        <w:ind w:firstLine="709" w:left="0" w:right="0"/>
        <w:jc w:val="center"/>
        <w:rPr>
          <w:rFonts w:ascii="Times New Roman" w:hAnsi="Times New Roman"/>
          <w:color w:val="000000"/>
          <w:sz w:val="28"/>
          <w:szCs w:val="28"/>
          <w:shd w:fill="auto" w:val="clear"/>
        </w:rPr>
      </w:pPr>
      <w:r>
        <w:rPr>
          <w:color w:val="000000"/>
          <w:sz w:val="28"/>
          <w:szCs w:val="28"/>
          <w:shd w:fill="auto" w:val="clear"/>
        </w:rPr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bCs w:val="false"/>
          <w:i w:val="false"/>
          <w:color w:val="000000"/>
          <w:sz w:val="28"/>
          <w:szCs w:val="28"/>
          <w:shd w:fill="auto" w:val="clear"/>
        </w:rPr>
        <w:t> 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При предоставлении Услуги осуществляются следующие административные процедуры: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.1.1.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 </w:t>
      </w:r>
      <w:r>
        <w:rPr>
          <w:rStyle w:val="Style15"/>
          <w:rFonts w:cs="Times New Roman"/>
          <w:i w:val="false"/>
          <w:strike w:val="false"/>
          <w:dstrike w:val="false"/>
          <w:color w:val="000000"/>
          <w:sz w:val="28"/>
          <w:szCs w:val="28"/>
          <w:shd w:fill="auto" w:val="clear"/>
        </w:rPr>
        <w:t>Профилирование заявителя.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2.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Прием запроса и документов и (или) информации, необходимых для предоставления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1 (один) рабочий день.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3.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Межведомственное информационное взаимодействие.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color w:val="000000"/>
          <w:sz w:val="28"/>
          <w:szCs w:val="28"/>
          <w:shd w:fill="auto" w:val="clear"/>
          <w:lang w:val="zxx" w:eastAsia="zxx" w:bidi="zxx"/>
        </w:rPr>
        <w:t>Срок осуществления процедуры – тот же рабочий день.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Межведомственные информационные запросы направляются в:</w:t>
      </w: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ФНС РОССИИ. Наименование вида сведений (сервиса, витрины данных): предоставление из ЕРН по запросу сведений о физическом лице.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4.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Принятие решения о предоставлении (об отказе в предоставлении)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1 (один) рабочий день.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2"/>
          <w:rFonts w:cs="Mangal"/>
          <w:b w:val="false"/>
          <w:bCs w:val="false"/>
          <w:i w:val="false"/>
          <w:color w:val="000000"/>
          <w:sz w:val="28"/>
          <w:szCs w:val="28"/>
          <w:shd w:fill="auto" w:val="clear"/>
          <w:lang w:val="en-US" w:eastAsia="zxx" w:bidi="zxx"/>
        </w:rPr>
        <w:t>15</w:t>
      </w:r>
      <w:r>
        <w:rPr>
          <w:rStyle w:val="Style15"/>
          <w:rFonts w:cs="Times New Roman"/>
          <w:i w:val="false"/>
          <w:color w:val="000000"/>
          <w:sz w:val="28"/>
          <w:szCs w:val="28"/>
          <w:shd w:fill="auto" w:val="clear"/>
        </w:rPr>
        <w:t>.1.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5.</w:t>
      </w: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</w:rPr>
        <w:t> </w:t>
      </w:r>
      <w:r>
        <w:rPr>
          <w:rStyle w:val="Style15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/>
        </w:rPr>
        <w:t>Предоставление результата предоставления Услуги.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before="0" w:after="0"/>
        <w:ind w:firstLine="709" w:left="0" w:right="0"/>
        <w:jc w:val="both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zxx" w:eastAsia="zxx" w:bidi="zxx"/>
        </w:rPr>
        <w:t>Срок осуществления процедуры – 1 (один) рабочий день.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BodyText"/>
        <w:spacing w:lineRule="auto" w:line="276" w:before="0" w:after="0"/>
        <w:ind w:firstLine="709" w:left="0"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Style17"/>
        <w:jc w:val="center"/>
        <w:rPr/>
      </w:pPr>
      <w:r>
        <w:rPr>
          <w:rStyle w:val="Style12"/>
          <w:color w:val="000000"/>
          <w:sz w:val="28"/>
          <w:szCs w:val="28"/>
          <w:shd w:fill="auto" w:val="clear"/>
          <w:lang w:val="en-US"/>
        </w:rPr>
        <w:t>IV</w:t>
      </w:r>
      <w:r>
        <w:rPr>
          <w:rStyle w:val="Style12"/>
          <w:color w:val="000000"/>
          <w:sz w:val="28"/>
          <w:szCs w:val="28"/>
          <w:shd w:fill="auto" w:val="clear"/>
        </w:rPr>
        <w:t>.</w:t>
      </w:r>
      <w:r>
        <w:rPr>
          <w:rStyle w:val="Style12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Способы информирования заявителя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об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</w:t>
      </w:r>
      <w:bookmarkStart w:id="10" w:name="_Toc125717112"/>
      <w:bookmarkStart w:id="11" w:name="_Toc125717114"/>
      <w:bookmarkStart w:id="12" w:name="_Toc125717116"/>
      <w:bookmarkStart w:id="13" w:name="_Toc125717117"/>
      <w:bookmarkEnd w:id="10"/>
      <w:bookmarkEnd w:id="11"/>
      <w:bookmarkEnd w:id="12"/>
      <w:bookmarkEnd w:id="13"/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pStyle w:val="Style17"/>
        <w:jc w:val="center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.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Перечень способов информирования заявителя</w:t>
      </w:r>
    </w:p>
    <w:p>
      <w:pPr>
        <w:pStyle w:val="Style17"/>
        <w:jc w:val="center"/>
        <w:rPr/>
      </w:pPr>
      <w:r>
        <w:rPr>
          <w:rStyle w:val="Style12"/>
          <w:rFonts w:cs="Mangal"/>
          <w:color w:val="000000"/>
          <w:sz w:val="28"/>
          <w:szCs w:val="28"/>
          <w:shd w:fill="auto" w:val="clear"/>
        </w:rPr>
        <w:t>об</w:t>
      </w:r>
      <w:r>
        <w:rPr>
          <w:rStyle w:val="Style12"/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Style w:val="Style12"/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</w:t>
      </w:r>
    </w:p>
    <w:p>
      <w:pPr>
        <w:pStyle w:val="Style17"/>
        <w:rPr>
          <w:rFonts w:ascii="Times New Roman" w:hAnsi="Times New Roman" w:cs="Mangal"/>
          <w:color w:val="000000"/>
          <w:sz w:val="28"/>
          <w:szCs w:val="28"/>
          <w:shd w:fill="auto" w:val="clear"/>
        </w:rPr>
      </w:pPr>
      <w:r>
        <w:rPr>
          <w:rFonts w:cs="Mangal"/>
          <w:color w:val="000000"/>
          <w:sz w:val="28"/>
          <w:szCs w:val="28"/>
          <w:shd w:fill="auto" w:val="clear"/>
        </w:rPr>
      </w:r>
    </w:p>
    <w:p>
      <w:pPr>
        <w:pStyle w:val="Style17"/>
        <w:spacing w:before="0" w:after="0"/>
        <w:ind w:firstLine="709" w:left="0" w:right="0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Информирование заявителя об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</w:t>
      </w:r>
      <w:r>
        <w:rPr>
          <w:rFonts w:cs="Mangal"/>
          <w:color w:val="000000"/>
          <w:sz w:val="28"/>
          <w:szCs w:val="28"/>
          <w:shd w:fill="auto" w:val="clear"/>
        </w:rPr>
        <w:t>изменении статуса рассмотрения запроса обеспечивается посредством направления уведомления: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spacing w:before="0" w:after="0"/>
        <w:ind w:firstLine="709" w:left="0" w:right="0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/>
        </w:rPr>
        <w:t>1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в личный кабинет на РПГУ;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spacing w:before="0" w:after="0"/>
        <w:ind w:firstLine="709" w:left="0" w:right="0"/>
        <w:rPr/>
      </w:pPr>
      <w:r>
        <w:rPr>
          <w:rStyle w:val="Style15"/>
          <w:rFonts w:cs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shd w:fill="auto" w:val="clear"/>
          <w:em w:val="none"/>
          <w:lang w:val="en-US" w:eastAsia="zxx" w:bidi="zxx"/>
        </w:rPr>
        <w:t>16</w:t>
      </w:r>
      <w:r>
        <w:rPr>
          <w:rFonts w:cs="Mangal"/>
          <w:color w:val="000000"/>
          <w:sz w:val="28"/>
          <w:szCs w:val="28"/>
          <w:shd w:fill="auto" w:val="clear"/>
        </w:rPr>
        <w:t>.1.</w:t>
      </w:r>
      <w:r>
        <w:rPr>
          <w:rFonts w:cs="Mangal"/>
          <w:color w:val="000000"/>
          <w:sz w:val="28"/>
          <w:szCs w:val="28"/>
          <w:shd w:fill="auto" w:val="clear"/>
          <w:lang w:val="en-US"/>
        </w:rPr>
        <w:t>2</w:t>
      </w:r>
      <w:r>
        <w:rPr>
          <w:rFonts w:cs="Mangal"/>
          <w:color w:val="000000"/>
          <w:sz w:val="28"/>
          <w:szCs w:val="28"/>
          <w:shd w:fill="auto" w:val="clear"/>
        </w:rPr>
        <w:t>.</w:t>
      </w:r>
      <w:r>
        <w:rPr>
          <w:rFonts w:cs="Mangal"/>
          <w:color w:val="000000"/>
          <w:sz w:val="28"/>
          <w:szCs w:val="28"/>
          <w:shd w:fill="auto" w:val="clear"/>
          <w:lang w:val="en-US" w:eastAsia="zxx" w:bidi="zxx"/>
        </w:rPr>
        <w:t> по электронной почте.</w:t>
      </w:r>
    </w:p>
    <w:p>
      <w:pPr>
        <w:sectPr>
          <w:type w:val="continuous"/>
          <w:pgSz w:w="11906" w:h="16838"/>
          <w:pgMar w:left="1134" w:right="850" w:gutter="0" w:header="1134" w:top="1739" w:footer="0" w:bottom="1134"/>
          <w:formProt w:val="false"/>
          <w:textDirection w:val="lrTb"/>
          <w:docGrid w:type="default" w:linePitch="312" w:charSpace="0"/>
        </w:sectPr>
      </w:pPr>
    </w:p>
    <w:p>
      <w:pPr>
        <w:pStyle w:val="Style17"/>
        <w:spacing w:before="0" w:after="0"/>
        <w:ind w:firstLine="709" w:left="0" w:right="0"/>
        <w:rPr/>
      </w:pPr>
      <w:r>
        <w:rPr/>
      </w:r>
    </w:p>
    <w:sectPr>
      <w:type w:val="continuous"/>
      <w:pgSz w:w="11906" w:h="16838"/>
      <w:pgMar w:left="1134" w:right="850" w:gutter="0" w:header="1134" w:top="1739" w:footer="0" w:bottom="1134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9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rFonts w:ascii="Times New Roman" w:hAnsi="Times New Roman" w:eastAsia="MS Gothic" w:cs="Tahoma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MS Gothic" w:cs="Tahoma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>
      <w:rFonts w:ascii="OpenSymbol" w:hAnsi="OpenSymbol"/>
    </w:rPr>
  </w:style>
  <w:style w:type="character" w:styleId="DefaultParagraphFont">
    <w:name w:val="Default Paragraph Font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21">
    <w:name w:val="Заголовок 2 Знак"/>
    <w:basedOn w:val="DefaultParagraphFont"/>
    <w:qFormat/>
    <w:rPr>
      <w:rFonts w:ascii="Calibri Light" w:hAnsi="Calibri Light" w:eastAsia="Times New Roman"/>
      <w:b/>
      <w:bCs/>
      <w:color w:val="4472C4"/>
      <w:sz w:val="26"/>
      <w:szCs w:val="26"/>
    </w:rPr>
  </w:style>
  <w:style w:type="character" w:styleId="2-">
    <w:name w:val="Рег. Заголовок 2-го уровня регламента Знак"/>
    <w:basedOn w:val="DefaultParagraphFont"/>
    <w:qFormat/>
    <w:rPr>
      <w:rFonts w:ascii="Times New Roman" w:hAnsi="Times New Roman" w:eastAsia="Calibri"/>
      <w:b/>
      <w:bCs/>
      <w:sz w:val="24"/>
      <w:szCs w:val="24"/>
    </w:rPr>
  </w:style>
  <w:style w:type="character" w:styleId="Style9">
    <w:name w:val="Без интервала Знак,Приложение АР Знак"/>
    <w:basedOn w:val="DefaultParagraphFont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styleId="1">
    <w:name w:val="АР Прил1 Знак"/>
    <w:basedOn w:val="Style9"/>
    <w:qFormat/>
    <w:rPr>
      <w:rFonts w:ascii="Times New Roman" w:hAnsi="Times New Roman"/>
      <w:b w:val="false"/>
      <w:bCs/>
      <w:iCs/>
      <w:sz w:val="24"/>
      <w:szCs w:val="24"/>
      <w:lang w:eastAsia="ru-RU"/>
    </w:rPr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/>
      <w:color w:val="2F5496"/>
      <w:sz w:val="32"/>
      <w:szCs w:val="32"/>
    </w:rPr>
  </w:style>
  <w:style w:type="character" w:styleId="Style10">
    <w:name w:val="Основной текст Знак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rFonts w:ascii="Times New Roman" w:hAnsi="Times New Roman" w:eastAsia="Times New Roman" w:cs="Times New Roman"/>
      <w:sz w:val="16"/>
      <w:szCs w:val="16"/>
    </w:rPr>
  </w:style>
  <w:style w:type="character" w:styleId="Style11">
    <w:name w:val="Текст примечания Знак"/>
    <w:basedOn w:val="DefaultParagraphFont"/>
    <w:qFormat/>
    <w:rPr>
      <w:rFonts w:cs="Mangal"/>
      <w:sz w:val="18"/>
      <w:szCs w:val="18"/>
    </w:rPr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basedOn w:val="DefaultParagraphFont"/>
    <w:qFormat/>
    <w:rPr>
      <w:rFonts w:ascii="Times New Roman" w:hAnsi="Times New Roman" w:eastAsia="Times New Roman" w:cs="Times New Roman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character" w:styleId="Style14">
    <w:name w:val="Знак примечания"/>
    <w:basedOn w:val="Style12"/>
    <w:qFormat/>
    <w:rPr>
      <w:rFonts w:ascii="Times New Roman" w:hAnsi="Times New Roman" w:eastAsia="Times New Roman" w:cs="Times New Roman"/>
      <w:sz w:val="16"/>
      <w:szCs w:val="16"/>
    </w:rPr>
  </w:style>
  <w:style w:type="character" w:styleId="Style15">
    <w:name w:val="Слабое выделение"/>
    <w:basedOn w:val="Style12"/>
    <w:qFormat/>
    <w:rPr>
      <w:i/>
      <w:iCs/>
      <w:color w:val="404040"/>
    </w:rPr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0"/>
      <w:ind w:firstLine="709" w:left="0" w:right="0"/>
      <w:jc w:val="center"/>
    </w:pPr>
    <w:rPr>
      <w:rFonts w:ascii="Times New Roman" w:hAnsi="Times New Roman"/>
      <w:b w:val="false"/>
      <w:bCs w:val="false"/>
      <w:sz w:val="28"/>
      <w:szCs w:val="28"/>
    </w:rPr>
  </w:style>
  <w:style w:type="paragraph" w:styleId="podPageBreakBefore">
    <w:name w:val="podPageBreakBefore"/>
    <w:qFormat/>
    <w:pPr>
      <w:pageBreakBefore/>
      <w:widowControl/>
      <w:suppressAutoHyphens w:val="true"/>
      <w:kinsoku w:val="true"/>
      <w:overflowPunct w:val="false"/>
      <w:autoSpaceDE w:val="true"/>
      <w:bidi w:val="0"/>
      <w:spacing w:before="0" w:after="0"/>
      <w:ind w:hanging="0" w:left="0" w:right="0"/>
      <w:jc w:val="left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suppressAutoHyphens w:val="true"/>
      <w:kinsoku w:val="true"/>
      <w:overflowPunct w:val="false"/>
      <w:autoSpaceDE w:val="true"/>
      <w:bidi w:val="0"/>
      <w:spacing w:before="0" w:after="0"/>
      <w:ind w:hanging="0" w:left="0" w:right="0"/>
      <w:jc w:val="left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suppressAutoHyphens w:val="true"/>
      <w:kinsoku w:val="true"/>
      <w:overflowPunct w:val="false"/>
      <w:autoSpaceDE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suppressAutoHyphens w:val="true"/>
      <w:kinsoku w:val="true"/>
      <w:overflowPunct w:val="false"/>
      <w:autoSpaceDE w:val="true"/>
      <w:bidi w:val="0"/>
      <w:spacing w:before="0" w:after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Normal1">
    <w:name w:val="Normal1"/>
    <w:qFormat/>
    <w:pPr>
      <w:widowControl/>
      <w:tabs>
        <w:tab w:val="clear" w:pos="709"/>
      </w:tabs>
      <w:suppressAutoHyphens w:val="true"/>
      <w:kinsoku w:val="true"/>
      <w:overflowPunct w:val="fals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6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2">
    <w:name w:val="АР Прил 2"/>
    <w:basedOn w:val="Style16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1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,Приложение АР"/>
    <w:basedOn w:val="Heading1"/>
    <w:next w:val="2-1"/>
    <w:qFormat/>
    <w:pPr>
      <w:keepNext w:val="true"/>
      <w:spacing w:lineRule="auto" w:line="240" w:before="240" w:after="240"/>
      <w:jc w:val="right"/>
      <w:outlineLvl w:val="9"/>
    </w:pPr>
    <w:rPr>
      <w:b/>
      <w:bCs/>
      <w:iCs/>
      <w:sz w:val="24"/>
    </w:rPr>
  </w:style>
  <w:style w:type="paragraph" w:styleId="12">
    <w:name w:val="АР Прил1"/>
    <w:basedOn w:val="NoSpacing"/>
    <w:qFormat/>
    <w:pPr>
      <w:keepNext w:val="true"/>
      <w:spacing w:lineRule="auto" w:line="240" w:before="240" w:after="0"/>
      <w:ind w:firstLine="4820" w:left="0" w:right="0"/>
    </w:pPr>
    <w:rPr>
      <w:bCs/>
      <w:iCs/>
      <w:sz w:val="24"/>
    </w:rPr>
  </w:style>
  <w:style w:type="paragraph" w:styleId="TableGrid">
    <w:name w:val="Table Grid"/>
    <w:basedOn w:val="NormalTable"/>
    <w:qFormat/>
    <w:pPr>
      <w:spacing w:lineRule="auto" w:line="240"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/>
    <w:rPr/>
  </w:style>
  <w:style w:type="paragraph" w:styleId="LO-Normal">
    <w:name w:val="LO-Normal"/>
    <w:qFormat/>
    <w:pPr>
      <w:widowControl/>
      <w:suppressAutoHyphens w:val="true"/>
      <w:kinsoku w:val="true"/>
      <w:overflowPunct w:val="fals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LO-Normal0">
    <w:name w:val="LO-Normal0"/>
    <w:qFormat/>
    <w:pPr>
      <w:widowControl/>
      <w:suppressAutoHyphens w:val="true"/>
      <w:kinsoku w:val="true"/>
      <w:overflowPunct w:val="fals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annotationtext">
    <w:name w:val="annotation text"/>
    <w:basedOn w:val="Normal"/>
    <w:qFormat/>
    <w:pPr/>
    <w:rPr>
      <w:rFonts w:cs="Mangal"/>
      <w:sz w:val="20"/>
      <w:szCs w:val="18"/>
    </w:rPr>
  </w:style>
  <w:style w:type="paragraph" w:styleId="LO-Normal1">
    <w:name w:val="LO-Normal1"/>
    <w:qFormat/>
    <w:pPr>
      <w:widowControl/>
      <w:suppressAutoHyphens w:val="true"/>
      <w:kinsoku w:val="true"/>
      <w:overflowPunct w:val="fals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Style17">
    <w:name w:val="Обычный"/>
    <w:qFormat/>
    <w:pPr>
      <w:widowControl/>
      <w:tabs>
        <w:tab w:val="clear" w:pos="709"/>
      </w:tabs>
      <w:suppressAutoHyphens w:val="true"/>
      <w:kinsoku w:val="true"/>
      <w:overflowPunct w:val="fals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Quote">
    <w:name w:val="Quote"/>
    <w:basedOn w:val="Normal"/>
    <w:next w:val="Normal"/>
    <w:qFormat/>
    <w:pPr>
      <w:spacing w:before="200" w:after="0"/>
      <w:ind w:hanging="0" w:left="864" w:right="864"/>
      <w:jc w:val="center"/>
    </w:pPr>
    <w:rPr>
      <w:i/>
      <w:iCs/>
      <w:color w:val="404040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118859</TotalTime>
  <Application>LibreOffice/24.2.7.2$Linux_X86_64 LibreOffice_project/420$Build-2</Application>
  <AppVersion>15.0000</AppVersion>
  <Pages>9</Pages>
  <Words>1754</Words>
  <Characters>12763</Characters>
  <CharactersWithSpaces>14348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2026-08-10T10:11:32Z</dcterms:modified>
  <cp:revision>2126</cp:revision>
  <dc:subject/>
  <dc:title>20260924-094835.052651.template.result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