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jpeg" ContentType="image/jpeg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ind w:hanging="0" w:left="0" w:right="0"/>
        <w:jc w:val="center"/>
        <w:rPr>
          <w:rFonts w:ascii="Times New Roman" w:hAnsi="Times New Roman"/>
          <w:b/>
          <w:sz w:val="32"/>
          <w:szCs w:val="32"/>
          <w:lang w:val="en-US"/>
        </w:rPr>
      </w:pPr>
      <w:r>
        <w:rPr>
          <w:rFonts w:ascii="Times New Roman" w:hAnsi="Times New Roman"/>
          <w:b/>
          <w:sz w:val="32"/>
          <w:szCs w:val="32"/>
          <w:lang w:val="en-US"/>
        </w:rP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2842895</wp:posOffset>
            </wp:positionH>
            <wp:positionV relativeFrom="paragraph">
              <wp:posOffset>31115</wp:posOffset>
            </wp:positionV>
            <wp:extent cx="671830" cy="858520"/>
            <wp:effectExtent l="0" t="0" r="0" b="0"/>
            <wp:wrapTopAndBottom/>
            <wp:docPr id="1" name="Изображение22 Копия 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22 Копия 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830" cy="8585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ectPr>
          <w:headerReference w:type="default" r:id="rId3"/>
          <w:headerReference w:type="first" r:id="rId4"/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АДМИНИСТРАЦИЯ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ГОРОДСКОГО ОКРУГА КРАСНОГОРСК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2"/>
          <w:szCs w:val="32"/>
          <w:lang w:val="en-US"/>
        </w:rPr>
        <w:t>МОСКОВСКОЙ ОБЛАСТИ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6"/>
          <w:szCs w:val="36"/>
        </w:rPr>
      </w: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b/>
          <w:color w:val="000000"/>
          <w:spacing w:val="10"/>
          <w:sz w:val="36"/>
          <w:szCs w:val="36"/>
        </w:rPr>
      </w:pPr>
      <w:r>
        <w:rPr>
          <w:rFonts w:eastAsia="Calibri" w:ascii="Times New Roman" w:hAnsi="Times New Roman"/>
          <w:b/>
          <w:color w:val="000000"/>
          <w:spacing w:val="10"/>
          <w:sz w:val="36"/>
          <w:szCs w:val="36"/>
        </w:rPr>
        <w:t>ПОСТАНОВЛЕНИЕ</w:t>
      </w:r>
    </w:p>
    <w:p>
      <w:pPr>
        <w:pStyle w:val="Normal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 w:eastAsia="Calibri"/>
          <w:color w:val="000000"/>
          <w:sz w:val="28"/>
          <w:szCs w:val="28"/>
        </w:rPr>
      </w:pPr>
      <w:r>
        <w:rPr>
          <w:rFonts w:eastAsia="Calibri" w:ascii="Times New Roman" w:hAnsi="Times New Roman"/>
          <w:color w:val="000000"/>
          <w:sz w:val="28"/>
          <w:szCs w:val="28"/>
        </w:rPr>
      </w:r>
    </w:p>
    <w:tbl>
      <w:tblPr>
        <w:tblW w:w="5000" w:type="pct"/>
        <w:jc w:val="left"/>
        <w:tblInd w:w="0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462"/>
        <w:gridCol w:w="2396"/>
        <w:gridCol w:w="400"/>
        <w:gridCol w:w="2343"/>
        <w:gridCol w:w="2321"/>
      </w:tblGrid>
      <w:tr>
        <w:trPr/>
        <w:tc>
          <w:tcPr>
            <w:tcW w:w="2462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sz w:val="28"/>
                <w:szCs w:val="28"/>
              </w:rPr>
            </w:r>
          </w:p>
        </w:tc>
        <w:tc>
          <w:tcPr>
            <w:tcW w:w="2396" w:type="dxa"/>
            <w:tcBorders>
              <w:bottom w:val="single" w:sz="4" w:space="0" w:color="000000"/>
            </w:tcBorders>
          </w:tcPr>
          <w:p>
            <w:pPr>
              <w:pStyle w:val="TableContents"/>
              <w:suppressLineNumbers/>
              <w:tabs>
                <w:tab w:val="clear" w:pos="709"/>
                <w:tab w:val="left" w:pos="739" w:leader="none"/>
              </w:tabs>
              <w:ind w:firstLine="454" w:left="0" w:right="0"/>
              <w:jc w:val="left"/>
              <w:rPr>
                <w:rFonts w:ascii="Times New Roman" w:hAnsi="Times New Roman" w:eastAsia="Calibri"/>
                <w:color w:val="FFFFFF"/>
                <w:sz w:val="32"/>
                <w:szCs w:val="32"/>
              </w:rPr>
            </w:pPr>
            <w:r>
              <w:rPr>
                <w:rFonts w:eastAsia="Calibri" w:ascii="Times New Roman" w:hAnsi="Times New Roman"/>
                <w:color w:val="FFFFFF"/>
                <w:sz w:val="32"/>
                <w:szCs w:val="32"/>
              </w:rPr>
              <w:t>$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</w:rPr>
              <w:t>regDt$</w:t>
            </w:r>
          </w:p>
        </w:tc>
        <w:tc>
          <w:tcPr>
            <w:tcW w:w="400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b w:val="false"/>
                <w:bCs w:val="false"/>
                <w:color w:val="auto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b w:val="false"/>
                <w:bCs w:val="false"/>
                <w:color w:val="auto"/>
                <w:sz w:val="28"/>
                <w:szCs w:val="28"/>
              </w:rPr>
              <w:t>№</w:t>
            </w:r>
          </w:p>
        </w:tc>
        <w:tc>
          <w:tcPr>
            <w:tcW w:w="2343" w:type="dxa"/>
            <w:tcBorders>
              <w:bottom w:val="single" w:sz="4" w:space="0" w:color="000000"/>
            </w:tcBorders>
          </w:tcPr>
          <w:p>
            <w:pPr>
              <w:pStyle w:val="TableContents"/>
              <w:suppressLineNumbers/>
              <w:ind w:firstLine="567" w:left="0" w:right="0"/>
              <w:jc w:val="left"/>
              <w:rPr>
                <w:rFonts w:ascii="Times New Roman" w:hAnsi="Times New Roman" w:eastAsia="Calibri"/>
                <w:color w:val="FFFFFF"/>
                <w:sz w:val="32"/>
                <w:szCs w:val="32"/>
                <w:shd w:fill="auto" w:val="clear"/>
              </w:rPr>
            </w:pP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$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regNm</w:t>
            </w:r>
            <w:r>
              <w:rPr>
                <w:rFonts w:eastAsia="Calibri" w:ascii="Times New Roman" w:hAnsi="Times New Roman"/>
                <w:color w:val="FFFFFF"/>
                <w:sz w:val="32"/>
                <w:szCs w:val="32"/>
                <w:shd w:fill="auto" w:val="clear"/>
              </w:rPr>
              <w:t>$</w:t>
            </w:r>
          </w:p>
        </w:tc>
        <w:tc>
          <w:tcPr>
            <w:tcW w:w="2321" w:type="dxa"/>
            <w:tcBorders/>
          </w:tcPr>
          <w:p>
            <w:pPr>
              <w:pStyle w:val="TableContents"/>
              <w:jc w:val="center"/>
              <w:rPr>
                <w:rFonts w:ascii="Times New Roman" w:hAnsi="Times New Roman" w:eastAsia="Calibri"/>
                <w:color w:val="auto"/>
                <w:sz w:val="28"/>
                <w:szCs w:val="28"/>
              </w:rPr>
            </w:pPr>
            <w:r>
              <w:rPr>
                <w:rFonts w:eastAsia="Calibri" w:ascii="Times New Roman" w:hAnsi="Times New Roman"/>
                <w:color w:val="auto"/>
                <w:sz w:val="28"/>
                <w:szCs w:val="28"/>
              </w:rPr>
            </w:r>
          </w:p>
        </w:tc>
      </w:tr>
    </w:tbl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bidi w:val="0"/>
        <w:spacing w:lineRule="auto" w:line="276" w:before="0" w:after="0"/>
        <w:ind w:hanging="0" w:left="0" w:right="0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 утверждении Административного регламента предоставления муниципальной услуги «Предоставление земельных участков, находящихся в муниципальной собственности, в постоянное (бессрочное) пользование»</w:t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В соответствии с Федеральным законом от 06.10.2003 № 131⁠-⁠ФЗ «Об общих принципах организации местного самоуправления в Российской Федерации», Федеральным законом от 27.07.2010г. № 210⁠-⁠ФЗ «Об организации предоставления государственных и муниципальных услуг», Законом Московской области от 24.07.2014 № 107/2014⁠-⁠ОЗ «О наделении органов местного самоуправления муниципальных образований Московской области отдельными государственными полномочиями Московской области»; Законом Московской области от 24.07.2014 № 106/2014⁠-⁠ОЗ «О перераспределении полномочий между органами муниципальных образований Московской области и органами государственной власти Московской области», Поручением Министерства имущественных отношений Московской области № 123⁠-⁠01Вх⁠-⁠14396 от 10.09.2026, 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ПОСТАНОВЛ</w:t>
      </w:r>
      <w:r>
        <w:rPr>
          <w:sz w:val="28"/>
          <w:szCs w:val="28"/>
          <w:lang w:val="ru-RU"/>
        </w:rPr>
        <w:t>ЯЕТ</w:t>
      </w:r>
    </w:p>
    <w:p>
      <w:pPr>
        <w:pStyle w:val="Normal1"/>
        <w:spacing w:lineRule="auto" w:line="276" w:before="0" w:after="0"/>
        <w:ind w:firstLine="709" w:left="0" w:right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1. Утвердить </w:t>
      </w:r>
      <w:r>
        <w:rPr>
          <w:rStyle w:val="2"/>
          <w:rFonts w:cs="Times New Roman"/>
          <w:b w:val="false"/>
          <w:bCs/>
          <w:i w:val="false"/>
          <w:iCs w:val="false"/>
          <w:color w:val="000000"/>
          <w:sz w:val="28"/>
          <w:szCs w:val="28"/>
          <w:lang w:val="ru-RU" w:eastAsia="en-US" w:bidi="ar-SA"/>
        </w:rPr>
        <w:t>административный регламент</w:t>
      </w:r>
      <w:r>
        <w:rPr>
          <w:rFonts w:eastAsia="Times New Roman" w:cs="Times New Roman"/>
          <w:color w:val="000000"/>
          <w:sz w:val="28"/>
          <w:szCs w:val="28"/>
        </w:rPr>
        <w:t xml:space="preserve"> предоставления муниципальной услуги «Предоставление земельных участков, находящихся в муниципальной собственности, в постоянное (бессрочное) пользование».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pgNumType w:fmt="decimal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2. Признать утратившим силу:</w:t>
      </w:r>
    </w:p>
    <w:p>
      <w:pPr>
        <w:pStyle w:val="Normal1"/>
        <w:suppressAutoHyphens w:val="true"/>
        <w:spacing w:lineRule="auto" w:line="276" w:before="0" w:after="0"/>
        <w:ind w:firstLine="709" w:left="0" w:right="0"/>
        <w:jc w:val="both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>Постановление администрации городского округа Красногорск Московской области от 21.04.2025 № 1153/4 «Об утверждении Административного регламента предоставления муниципальной услуги «Предоставление земельных участков, находящихся в муниципальной собственности, в постоянное (бессрочное) пользование» на территории городского округа Красногорск Московской области».</w:t>
      </w:r>
    </w:p>
    <w:p>
      <w:pPr>
        <w:sectPr>
          <w:type w:val="continuous"/>
          <w:pgSz w:w="11906" w:h="16838"/>
          <w:pgMar w:left="1134" w:right="850" w:gutter="0" w:header="1134" w:top="1474" w:footer="0" w:bottom="1134"/>
          <w:formProt w:val="false"/>
          <w:titlePg/>
          <w:textDirection w:val="lrTb"/>
          <w:docGrid w:type="default" w:linePitch="312" w:charSpace="4294961151"/>
        </w:sectPr>
      </w:pPr>
    </w:p>
    <w:p>
      <w:pPr>
        <w:pStyle w:val="Normal"/>
        <w:tabs>
          <w:tab w:val="clear" w:pos="709"/>
        </w:tabs>
        <w:suppressAutoHyphens w:val="true"/>
        <w:spacing w:lineRule="auto" w:line="276" w:before="0" w:after="0"/>
        <w:ind w:firstLine="709" w:left="0" w:right="0"/>
        <w:jc w:val="both"/>
        <w:rPr/>
      </w:pPr>
      <w:r>
        <w:rPr>
          <w:rFonts w:eastAsia="Times New Roman" w:cs="Times New Roman" w:ascii="Times New Roman" w:hAnsi="Times New Roman"/>
          <w:color w:val="000000"/>
          <w:sz w:val="28"/>
          <w:szCs w:val="28"/>
        </w:rPr>
        <w:t>3. Настоящее постановление вступает в силу со дня его подписания.</w:t>
      </w:r>
    </w:p>
    <w:p>
      <w:pPr>
        <w:sectPr>
          <w:type w:val="continuous"/>
          <w:pgSz w:w="11906" w:h="16838"/>
          <w:pgMar w:left="1134" w:right="850" w:gutter="0" w:header="1134" w:top="1693" w:footer="0" w:bottom="1134"/>
          <w:formProt w:val="false"/>
          <w:textDirection w:val="lrTb"/>
          <w:docGrid w:type="default" w:linePitch="600" w:charSpace="32768"/>
        </w:sectPr>
      </w:pP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tbl>
      <w:tblPr>
        <w:tblW w:w="9917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731"/>
        <w:gridCol w:w="1498"/>
        <w:gridCol w:w="3688"/>
      </w:tblGrid>
      <w:tr>
        <w:trPr>
          <w:trHeight w:val="283" w:hRule="atLeast"/>
        </w:trPr>
        <w:tc>
          <w:tcPr>
            <w:tcW w:w="4731" w:type="dxa"/>
            <w:tcBorders/>
            <w:vAlign w:val="bottom"/>
          </w:tcPr>
          <w:p>
            <w:pPr>
              <w:pStyle w:val="TableContents"/>
              <w:spacing w:lineRule="auto" w:line="276" w:before="0" w:after="0"/>
              <w:ind w:hanging="0" w:left="0" w:right="0"/>
              <w:jc w:val="left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Глава городского округа Красногорск Московской области</w:t>
            </w:r>
          </w:p>
        </w:tc>
        <w:tc>
          <w:tcPr>
            <w:tcW w:w="1498" w:type="dxa"/>
            <w:tcBorders/>
            <w:tcMar>
              <w:left w:w="10" w:type="dxa"/>
              <w:right w:w="10" w:type="dxa"/>
            </w:tcMar>
            <w:vAlign w:val="bottom"/>
          </w:tcPr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76" w:before="0" w:after="0"/>
              <w:ind w:hanging="0" w:left="0" w:right="0"/>
              <w:jc w:val="center"/>
              <w:rPr>
                <w:color w:val="FFFFFF"/>
                <w:shd w:fill="FFFFFF" w:val="clear"/>
                <w:lang w:val="ru-RU"/>
              </w:rPr>
            </w:pPr>
            <w:r>
              <w:rPr>
                <w:color w:val="FFFFFF"/>
                <w:shd w:fill="FFFFFF" w:val="clear"/>
                <w:lang w:val="ru-RU"/>
              </w:rPr>
            </w:r>
          </w:p>
        </w:tc>
        <w:tc>
          <w:tcPr>
            <w:tcW w:w="3688" w:type="dxa"/>
            <w:tcBorders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>
            <w:pPr>
              <w:pStyle w:val="TableContents"/>
              <w:numPr>
                <w:ilvl w:val="0"/>
                <w:numId w:val="0"/>
              </w:numPr>
              <w:spacing w:lineRule="auto" w:line="276" w:before="0" w:after="0"/>
              <w:ind w:hanging="0" w:left="0" w:right="0"/>
              <w:jc w:val="right"/>
              <w:rPr>
                <w:rFonts w:ascii="Times New Roman" w:hAnsi="Times New Roman" w:eastAsia="Times New Roman" w:cs="Times New Roman"/>
                <w:sz w:val="28"/>
                <w:szCs w:val="28"/>
                <w:lang w:val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val="ru-RU"/>
              </w:rPr>
              <w:t>Д.В. Волков</w:t>
            </w:r>
          </w:p>
        </w:tc>
      </w:tr>
    </w:tbl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5"/>
        <w:gridCol w:w="5217"/>
      </w:tblGrid>
      <w:tr>
        <w:trPr/>
        <w:tc>
          <w:tcPr>
            <w:tcW w:w="4705" w:type="dxa"/>
            <w:tcBorders/>
          </w:tcPr>
          <w:p>
            <w:pPr>
              <w:pStyle w:val="TableContents"/>
              <w:jc w:val="both"/>
              <w:rPr>
                <w:rFonts w:ascii="Times New Roman" w:hAnsi="Times New Roman" w:eastAsia="Times New Roman" w:cs="Times New Roman"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</w:rPr>
            </w:r>
          </w:p>
        </w:tc>
        <w:tc>
          <w:tcPr>
            <w:tcW w:w="5217" w:type="dxa"/>
            <w:tcBorders/>
          </w:tcPr>
          <w:p>
            <w:pPr>
              <w:pStyle w:val="Normal"/>
              <w:numPr>
                <w:ilvl w:val="0"/>
                <w:numId w:val="0"/>
              </w:numPr>
              <w:bidi w:val="0"/>
              <w:spacing w:lineRule="auto" w:line="276" w:before="0" w:after="0"/>
              <w:ind w:hanging="0" w:left="0" w:right="0"/>
              <w:jc w:val="left"/>
              <w:rPr>
                <w:color w:val="FFFFFF"/>
                <w:shd w:fill="FFFFFF" w:val="clear"/>
                <w:lang w:val="ru-RU"/>
              </w:rPr>
            </w:pPr>
            <w:r>
              <w:rPr>
                <w:color w:val="FFFFFF"/>
                <w:shd w:fill="FFFFFF" w:val="clear"/>
                <w:lang w:val="ru-RU"/>
              </w:rPr>
              <w:t>$signature$</w:t>
            </w:r>
          </w:p>
        </w:tc>
      </w:tr>
    </w:tbl>
    <w:p>
      <w:pPr>
        <w:pStyle w:val="Normal1"/>
        <w:spacing w:lineRule="auto" w:line="276" w:before="0" w:after="0"/>
        <w:ind w:firstLine="709" w:left="0" w:right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sectPr>
      <w:type w:val="continuous"/>
      <w:pgSz w:w="11906" w:h="16838"/>
      <w:pgMar w:left="1134" w:right="850" w:gutter="0" w:header="1134" w:top="1693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Symbol">
    <w:altName w:val="Arial Unicode MS"/>
    <w:charset w:val="01"/>
    <w:family w:val="auto"/>
    <w:pitch w:val="default"/>
  </w:font>
  <w:font w:name="Calibri Light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Mono">
    <w:altName w:val="Courier New"/>
    <w:charset w:val="01"/>
    <w:family w:val="modern"/>
    <w:pitch w:val="fixed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sz w:val="28"/>
        <w:szCs w:val="28"/>
        <w:rFonts w:ascii="Times New Roman" w:hAnsi="Times New Roman"/>
      </w:rPr>
      <w:instrText xml:space="preserve"> PAGE </w:instrText>
    </w:r>
    <w:r>
      <w:rPr>
        <w:sz w:val="28"/>
        <w:szCs w:val="28"/>
        <w:rFonts w:ascii="Times New Roman" w:hAnsi="Times New Roman"/>
      </w:rPr>
      <w:fldChar w:fldCharType="separate"/>
    </w:r>
    <w:r>
      <w:rPr>
        <w:sz w:val="28"/>
        <w:szCs w:val="28"/>
        <w:rFonts w:ascii="Times New Roman" w:hAnsi="Times New Roman"/>
      </w:rPr>
      <w:t>0</w:t>
    </w:r>
    <w:r>
      <w:rPr>
        <w:sz w:val="28"/>
        <w:szCs w:val="28"/>
        <w:rFonts w:ascii="Times New Roman" w:hAnsi="Times New Roman"/>
      </w:rPr>
      <w:fldChar w:fldCharType="end"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Left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%3"/>
      <w:lvlJc w:val="left"/>
      <w:pPr>
        <w:tabs>
          <w:tab w:val="num" w:pos="0"/>
        </w:tabs>
        <w:ind w:left="0" w:hanging="0"/>
      </w:pPr>
    </w:lvl>
    <w:lvl w:ilvl="3">
      <w:start w:val="1"/>
      <w:pStyle w:val="Heading4"/>
      <w:numFmt w:val="none"/>
      <w:suff w:val="nothing"/>
      <w:lvlText w:val="%4"/>
      <w:lvlJc w:val="left"/>
      <w:pPr>
        <w:tabs>
          <w:tab w:val="num" w:pos="0"/>
        </w:tabs>
        <w:ind w:left="0" w:hanging="0"/>
      </w:pPr>
    </w:lvl>
    <w:lvl w:ilvl="4">
      <w:start w:val="1"/>
      <w:pStyle w:val="Heading5"/>
      <w:numFmt w:val="none"/>
      <w:suff w:val="nothing"/>
      <w:lvlText w:val="%5"/>
      <w:lvlJc w:val="left"/>
      <w:pPr>
        <w:tabs>
          <w:tab w:val="num" w:pos="0"/>
        </w:tabs>
        <w:ind w:left="0" w:hanging="0"/>
      </w:pPr>
    </w:lvl>
    <w:lvl w:ilvl="5">
      <w:start w:val="1"/>
      <w:pStyle w:val="Heading6"/>
      <w:numFmt w:val="none"/>
      <w:suff w:val="nothing"/>
      <w:lvlText w:val="%6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45"/>
        </w:tabs>
        <w:ind w:left="345" w:hanging="230"/>
      </w:pPr>
      <w:rPr/>
    </w:lvl>
    <w:lvl w:ilvl="1">
      <w:start w:val="1"/>
      <w:numFmt w:val="decimal"/>
      <w:lvlText w:val="%2."/>
      <w:lvlJc w:val="left"/>
      <w:pPr>
        <w:tabs>
          <w:tab w:val="num" w:pos="806"/>
        </w:tabs>
        <w:ind w:left="806" w:hanging="230"/>
      </w:pPr>
      <w:rPr/>
    </w:lvl>
    <w:lvl w:ilvl="2">
      <w:start w:val="1"/>
      <w:numFmt w:val="decimal"/>
      <w:lvlText w:val="%3."/>
      <w:lvlJc w:val="left"/>
      <w:pPr>
        <w:tabs>
          <w:tab w:val="num" w:pos="1267"/>
        </w:tabs>
        <w:ind w:left="1267" w:hanging="230"/>
      </w:pPr>
      <w:rPr/>
    </w:lvl>
    <w:lvl w:ilvl="3">
      <w:start w:val="1"/>
      <w:numFmt w:val="decimal"/>
      <w:lvlText w:val="%4."/>
      <w:lvlJc w:val="left"/>
      <w:pPr>
        <w:tabs>
          <w:tab w:val="num" w:pos="1728"/>
        </w:tabs>
        <w:ind w:left="1728" w:hanging="23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345"/>
        </w:tabs>
        <w:ind w:left="345" w:hanging="23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806"/>
        </w:tabs>
        <w:ind w:left="806" w:hanging="23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267"/>
        </w:tabs>
        <w:ind w:left="1267" w:hanging="23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728"/>
        </w:tabs>
        <w:ind w:left="1728" w:hanging="230"/>
      </w:pPr>
      <w:rPr>
        <w:rFonts w:ascii="Symbol" w:hAnsi="Symbol" w:cs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lvl w:ilvl="0">
      <w:start w:val="4"/>
      <w:numFmt w:val="decimal"/>
      <w:lvlText w:val="%1."/>
      <w:lvlJc w:val="left"/>
      <w:pPr>
        <w:tabs>
          <w:tab w:val="num" w:pos="0"/>
        </w:tabs>
        <w:ind w:left="3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7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5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32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95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67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39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611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830" w:hanging="0"/>
      </w:pPr>
      <w:rPr>
        <w:dstrike w:val="false"/>
        <w:strike w:val="false"/>
        <w:vertAlign w:val="baseline"/>
        <w:position w:val="0"/>
        <w:sz w:val="26"/>
        <w:sz w:val="26"/>
        <w:i w:val="false"/>
        <w:u w:val="none"/>
        <w:b w:val="false"/>
        <w:shd w:fill="auto" w:val="clear"/>
        <w:szCs w:val="26"/>
        <w:rFonts w:ascii="Times New Roman" w:hAnsi="Times New Roman" w:eastAsia="Times New Roman" w:cs="Times New Roman"/>
        <w:color w:val="00000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2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Heading1">
    <w:name w:val="Heading 1"/>
    <w:basedOn w:val="Heading"/>
    <w:next w:val="BodyText"/>
    <w:qFormat/>
    <w:pPr>
      <w:numPr>
        <w:ilvl w:val="0"/>
        <w:numId w:val="0"/>
      </w:numPr>
      <w:outlineLvl w:val="0"/>
    </w:pPr>
    <w:rPr>
      <w:rFonts w:ascii="Times New Roman" w:hAnsi="Times New Roman" w:eastAsia="MS Gothic" w:cs="Tahoma"/>
      <w:b/>
      <w:bCs/>
      <w:sz w:val="48"/>
      <w:szCs w:val="48"/>
    </w:rPr>
  </w:style>
  <w:style w:type="paragraph" w:styleId="Heading2">
    <w:name w:val="Heading 2"/>
    <w:basedOn w:val="Heading"/>
    <w:next w:val="BodyText"/>
    <w:qFormat/>
    <w:pPr>
      <w:numPr>
        <w:ilvl w:val="0"/>
        <w:numId w:val="0"/>
      </w:numPr>
      <w:outlineLvl w:val="1"/>
    </w:pPr>
    <w:rPr>
      <w:rFonts w:ascii="Times New Roman" w:hAnsi="Times New Roman" w:eastAsia="MS Gothic" w:cs="Tahoma"/>
      <w:b/>
      <w:bCs/>
      <w:sz w:val="36"/>
      <w:szCs w:val="36"/>
    </w:rPr>
  </w:style>
  <w:style w:type="paragraph" w:styleId="Heading3">
    <w:name w:val="Heading 3"/>
    <w:basedOn w:val="Heading"/>
    <w:next w:val="BodyText"/>
    <w:qFormat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Heading4">
    <w:name w:val="Heading 4"/>
    <w:basedOn w:val="Heading"/>
    <w:next w:val="Normal"/>
    <w:qFormat/>
    <w:pPr>
      <w:numPr>
        <w:ilvl w:val="3"/>
        <w:numId w:val="1"/>
      </w:numPr>
      <w:spacing w:before="120" w:after="120"/>
      <w:outlineLvl w:val="3"/>
    </w:pPr>
    <w:rPr>
      <w:b/>
      <w:bCs/>
      <w:i/>
      <w:iCs/>
      <w:color w:val="808080"/>
      <w:sz w:val="27"/>
      <w:szCs w:val="27"/>
    </w:rPr>
  </w:style>
  <w:style w:type="paragraph" w:styleId="Heading5">
    <w:name w:val="Heading 5"/>
    <w:basedOn w:val="Heading"/>
    <w:next w:val="Normal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Heading6">
    <w:name w:val="Heading 6"/>
    <w:basedOn w:val="Heading"/>
    <w:next w:val="Normal"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styleId="PODNumberingSymbols">
    <w:name w:val="POD Numbering Symbols"/>
    <w:qFormat/>
    <w:rPr/>
  </w:style>
  <w:style w:type="character" w:styleId="PODBulletSymbols">
    <w:name w:val="POD Bullet Symbols"/>
    <w:qFormat/>
    <w:rPr>
      <w:rFonts w:ascii="OpenSymbol" w:hAnsi="OpenSymbol"/>
    </w:rPr>
  </w:style>
  <w:style w:type="character" w:styleId="DefaultParagraphFont">
    <w:name w:val="Default Paragraph Font"/>
    <w:qFormat/>
    <w:rPr/>
  </w:style>
  <w:style w:type="character" w:styleId="WWCharLFO2LVL1">
    <w:name w:val="WW_CharLFO2LVL1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2">
    <w:name w:val="WW_CharLFO2LVL2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3">
    <w:name w:val="WW_CharLFO2LVL3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4">
    <w:name w:val="WW_CharLFO2LVL4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5">
    <w:name w:val="WW_CharLFO2LVL5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6">
    <w:name w:val="WW_CharLFO2LVL6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7">
    <w:name w:val="WW_CharLFO2LVL7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8">
    <w:name w:val="WW_CharLFO2LVL8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WWCharLFO2LVL9">
    <w:name w:val="WW_CharLFO2LVL9"/>
    <w:qFormat/>
    <w:rPr>
      <w:rFonts w:ascii="Times New Roman" w:hAnsi="Times New Roman" w:eastAsia="Times New Roman" w:cs="Times New Roman"/>
      <w:b w:val="false"/>
      <w:i w:val="false"/>
      <w:strike w:val="false"/>
      <w:dstrike w:val="false"/>
      <w:color w:val="000000"/>
      <w:position w:val="0"/>
      <w:sz w:val="26"/>
      <w:sz w:val="26"/>
      <w:szCs w:val="26"/>
      <w:u w:val="none"/>
      <w:shd w:fill="auto" w:val="clear"/>
      <w:vertAlign w:val="baseline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character" w:styleId="NumberingSymbols">
    <w:name w:val="Numbering Symbols"/>
    <w:qFormat/>
    <w:rPr/>
  </w:style>
  <w:style w:type="character" w:styleId="Style8">
    <w:name w:val="обычный приложения Знак"/>
    <w:basedOn w:val="DefaultParagraphFont"/>
    <w:qFormat/>
    <w:rPr>
      <w:rFonts w:ascii="Times New Roman" w:hAnsi="Times New Roman" w:eastAsia="Calibri"/>
      <w:b/>
      <w:sz w:val="24"/>
      <w:szCs w:val="24"/>
    </w:rPr>
  </w:style>
  <w:style w:type="character" w:styleId="2">
    <w:name w:val="АР Прил 2 Знак"/>
    <w:basedOn w:val="Style8"/>
    <w:qFormat/>
    <w:rPr>
      <w:rFonts w:ascii="Times New Roman" w:hAnsi="Times New Roman" w:eastAsia="Calibri"/>
      <w:b/>
      <w:sz w:val="24"/>
      <w:szCs w:val="24"/>
    </w:rPr>
  </w:style>
  <w:style w:type="character" w:styleId="21">
    <w:name w:val="Заголовок 2 Знак"/>
    <w:basedOn w:val="DefaultParagraphFont"/>
    <w:qFormat/>
    <w:rPr>
      <w:rFonts w:ascii="Calibri Light" w:hAnsi="Calibri Light" w:eastAsia="Times New Roman"/>
      <w:b/>
      <w:bCs/>
      <w:color w:val="4472C4"/>
      <w:sz w:val="26"/>
      <w:szCs w:val="26"/>
    </w:rPr>
  </w:style>
  <w:style w:type="character" w:styleId="2-">
    <w:name w:val="Рег. Заголовок 2-го уровня регламента Знак"/>
    <w:basedOn w:val="DefaultParagraphFont"/>
    <w:qFormat/>
    <w:rPr>
      <w:rFonts w:ascii="Times New Roman" w:hAnsi="Times New Roman" w:eastAsia="Calibri"/>
      <w:b/>
      <w:bCs/>
      <w:sz w:val="24"/>
      <w:szCs w:val="24"/>
    </w:rPr>
  </w:style>
  <w:style w:type="character" w:styleId="Style9">
    <w:name w:val="Без интервала Знак,Приложение АР Знак"/>
    <w:basedOn w:val="DefaultParagraphFont"/>
    <w:qFormat/>
    <w:rPr>
      <w:rFonts w:ascii="Times New Roman" w:hAnsi="Times New Roman"/>
      <w:b/>
      <w:bCs/>
      <w:iCs/>
      <w:sz w:val="24"/>
      <w:szCs w:val="24"/>
      <w:lang w:eastAsia="ru-RU"/>
    </w:rPr>
  </w:style>
  <w:style w:type="character" w:styleId="1">
    <w:name w:val="АР Прил1 Знак"/>
    <w:basedOn w:val="Style9"/>
    <w:qFormat/>
    <w:rPr>
      <w:rFonts w:ascii="Times New Roman" w:hAnsi="Times New Roman"/>
      <w:b w:val="false"/>
      <w:bCs/>
      <w:iCs/>
      <w:sz w:val="24"/>
      <w:szCs w:val="24"/>
      <w:lang w:eastAsia="ru-RU"/>
    </w:rPr>
  </w:style>
  <w:style w:type="character" w:styleId="11">
    <w:name w:val="Заголовок 1 Знак"/>
    <w:basedOn w:val="DefaultParagraphFont"/>
    <w:qFormat/>
    <w:rPr>
      <w:rFonts w:ascii="Calibri Light" w:hAnsi="Calibri Light" w:eastAsia="Times New Roman"/>
      <w:color w:val="2F5496"/>
      <w:sz w:val="32"/>
      <w:szCs w:val="32"/>
    </w:rPr>
  </w:style>
  <w:style w:type="character" w:styleId="12">
    <w:name w:val="Основной шрифт абзаца1"/>
    <w:qFormat/>
    <w:rPr/>
  </w:style>
  <w:style w:type="paragraph" w:styleId="ParaKWN">
    <w:name w:val="ParaKWN"/>
    <w:basedOn w:val="Normal"/>
    <w:qFormat/>
    <w:pPr>
      <w:keepNext w:val="true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podPageBreakBefore">
    <w:name w:val="podPageBreakBefore"/>
    <w:qFormat/>
    <w:pPr>
      <w:pageBreakBefore/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PageBreakBeforeDuplex">
    <w:name w:val="podPageBreakBeforeDuplex"/>
    <w:basedOn w:val="podPageBreakBefore"/>
    <w:qFormat/>
    <w:pPr>
      <w:pageBreakBefore/>
    </w:pPr>
    <w:rPr/>
  </w:style>
  <w:style w:type="paragraph" w:styleId="podPageBreakAfter">
    <w:name w:val="podPageBreakAfter"/>
    <w:qFormat/>
    <w:pPr>
      <w:widowControl/>
      <w:kinsoku w:val="true"/>
      <w:overflowPunct w:val="true"/>
      <w:autoSpaceDE w:val="true"/>
      <w:bidi w:val="0"/>
      <w:spacing w:before="0" w:after="0"/>
      <w:ind w:left="0" w:right="0"/>
    </w:pPr>
    <w:rPr>
      <w:rFonts w:ascii="Liberation Serif" w:hAnsi="Liberation Serif" w:eastAsia="NSimSun" w:cs="Lucida Sans"/>
      <w:color w:val="auto"/>
      <w:kern w:val="2"/>
      <w:sz w:val="4"/>
      <w:szCs w:val="24"/>
      <w:lang w:val="ru-RU" w:eastAsia="zh-CN" w:bidi="hi-IN"/>
    </w:rPr>
  </w:style>
  <w:style w:type="paragraph" w:styleId="podColumnBreak">
    <w:name w:val="podColumnBreak"/>
    <w:qFormat/>
    <w:pPr>
      <w:widowControl/>
      <w:kinsoku w:val="true"/>
      <w:overflowPunct w:val="true"/>
      <w:autoSpaceDE w:val="true"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paragraph" w:styleId="podBulletItem">
    <w:name w:val="podBulletItem"/>
    <w:basedOn w:val="Normal"/>
    <w:qFormat/>
    <w:pPr>
      <w:numPr>
        <w:ilvl w:val="0"/>
        <w:numId w:val="3"/>
      </w:numPr>
    </w:pPr>
    <w:rPr/>
  </w:style>
  <w:style w:type="paragraph" w:styleId="podNumberItem">
    <w:name w:val="podNumberItem"/>
    <w:basedOn w:val="Normal"/>
    <w:qFormat/>
    <w:pPr>
      <w:numPr>
        <w:ilvl w:val="0"/>
        <w:numId w:val="2"/>
      </w:numPr>
    </w:pPr>
    <w:rPr/>
  </w:style>
  <w:style w:type="paragraph" w:styleId="podBulletItemKeepWithNext">
    <w:name w:val="podBulletItemKeepWithNext"/>
    <w:basedOn w:val="Normal"/>
    <w:qFormat/>
    <w:pPr>
      <w:keepNext w:val="true"/>
      <w:numPr>
        <w:ilvl w:val="0"/>
        <w:numId w:val="3"/>
      </w:numPr>
    </w:pPr>
    <w:rPr/>
  </w:style>
  <w:style w:type="paragraph" w:styleId="podNumberItemKeepWithNext">
    <w:name w:val="podNumberItemKeepWithNext"/>
    <w:basedOn w:val="Normal"/>
    <w:qFormat/>
    <w:pPr>
      <w:keepNext w:val="true"/>
      <w:numPr>
        <w:ilvl w:val="0"/>
        <w:numId w:val="2"/>
      </w:numPr>
    </w:pPr>
    <w:rPr/>
  </w:style>
  <w:style w:type="paragraph" w:styleId="Tablecell">
    <w:name w:val="Table cell"/>
    <w:basedOn w:val="Normal"/>
    <w:qFormat/>
    <w:pPr>
      <w:suppressLineNumbers/>
      <w:spacing w:before="0" w:after="0"/>
    </w:pPr>
    <w:rPr/>
  </w:style>
  <w:style w:type="paragraph" w:styleId="Tableheading">
    <w:name w:val="Table heading"/>
    <w:basedOn w:val="Tablecell"/>
    <w:qFormat/>
    <w:pPr/>
    <w:rPr>
      <w:b/>
      <w:bCs/>
    </w:rPr>
  </w:style>
  <w:style w:type="paragraph" w:styleId="podTablePara">
    <w:name w:val="podTablePara"/>
    <w:basedOn w:val="Tablecell"/>
    <w:qFormat/>
    <w:pPr/>
    <w:rPr>
      <w:b w:val="false"/>
      <w:bCs w:val="false"/>
      <w:sz w:val="16"/>
    </w:rPr>
  </w:style>
  <w:style w:type="paragraph" w:styleId="podTableParaBold">
    <w:name w:val="podTableParaBold"/>
    <w:basedOn w:val="Tablecell"/>
    <w:qFormat/>
    <w:pPr/>
    <w:rPr>
      <w:b/>
      <w:bCs/>
      <w:sz w:val="16"/>
    </w:rPr>
  </w:style>
  <w:style w:type="paragraph" w:styleId="podTableParaRight">
    <w:name w:val="podTableParaRight"/>
    <w:basedOn w:val="Tablecell"/>
    <w:qFormat/>
    <w:pPr>
      <w:jc w:val="right"/>
    </w:pPr>
    <w:rPr>
      <w:b w:val="false"/>
      <w:bCs w:val="false"/>
      <w:sz w:val="16"/>
    </w:rPr>
  </w:style>
  <w:style w:type="paragraph" w:styleId="podTableParaBoldRight">
    <w:name w:val="podTableParaBoldRight"/>
    <w:basedOn w:val="Tablecell"/>
    <w:qFormat/>
    <w:pPr>
      <w:jc w:val="right"/>
    </w:pPr>
    <w:rPr>
      <w:b/>
      <w:bCs/>
      <w:sz w:val="16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kinsoku w:val="true"/>
      <w:overflowPunct w:val="true"/>
      <w:autoSpaceDE w:val="true"/>
      <w:bidi w:val="0"/>
      <w:jc w:val="left"/>
      <w:textAlignment w:val="auto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ru-RU" w:bidi="ar-SA"/>
    </w:rPr>
  </w:style>
  <w:style w:type="paragraph" w:styleId="Normal1">
    <w:name w:val="Normal1"/>
    <w:qFormat/>
    <w:pPr>
      <w:widowControl/>
      <w:tabs>
        <w:tab w:val="clear" w:pos="709"/>
      </w:tabs>
      <w:suppressAutoHyphens w:val="true"/>
      <w:kinsoku w:val="true"/>
      <w:overflowPunct w:val="true"/>
      <w:autoSpaceDE w:val="true"/>
      <w:bidi w:val="0"/>
      <w:spacing w:lineRule="auto" w:line="266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TableContents">
    <w:name w:val="Table Contents"/>
    <w:basedOn w:val="Normal"/>
    <w:qFormat/>
    <w:pPr>
      <w:suppressLineNumbers/>
    </w:pPr>
    <w:rPr/>
  </w:style>
  <w:style w:type="paragraph" w:styleId="Style10">
    <w:name w:val="обычный приложения"/>
    <w:basedOn w:val="Normal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2">
    <w:name w:val="АР Прил 2"/>
    <w:basedOn w:val="Style10"/>
    <w:qFormat/>
    <w:pPr>
      <w:jc w:val="center"/>
    </w:pPr>
    <w:rPr>
      <w:rFonts w:ascii="Times New Roman" w:hAnsi="Times New Roman" w:eastAsia="Calibri"/>
      <w:b/>
      <w:sz w:val="24"/>
    </w:rPr>
  </w:style>
  <w:style w:type="paragraph" w:styleId="2-1">
    <w:name w:val="Рег. Заголовок 2-го уровня регламента"/>
    <w:basedOn w:val="Normal"/>
    <w:qFormat/>
    <w:pPr>
      <w:numPr>
        <w:ilvl w:val="0"/>
        <w:numId w:val="0"/>
      </w:numPr>
      <w:spacing w:lineRule="auto" w:line="240" w:before="0" w:after="0"/>
      <w:jc w:val="center"/>
      <w:outlineLvl w:val="1"/>
    </w:pPr>
    <w:rPr>
      <w:rFonts w:ascii="Times New Roman" w:hAnsi="Times New Roman" w:eastAsia="Calibri"/>
      <w:b/>
      <w:bCs/>
      <w:sz w:val="24"/>
      <w:szCs w:val="24"/>
    </w:rPr>
  </w:style>
  <w:style w:type="paragraph" w:styleId="FootnoteText">
    <w:name w:val="Footnote Text"/>
    <w:basedOn w:val="Normal"/>
    <w:pPr>
      <w:suppressLineNumbers/>
      <w:ind w:hanging="340" w:left="340" w:right="0"/>
    </w:pPr>
    <w:rPr>
      <w:sz w:val="20"/>
      <w:szCs w:val="20"/>
    </w:rPr>
  </w:style>
  <w:style w:type="paragraph" w:styleId="TableHeading1">
    <w:name w:val="Table Heading1"/>
    <w:basedOn w:val="TableContents"/>
    <w:qFormat/>
    <w:pPr>
      <w:suppressLineNumbers/>
      <w:jc w:val="center"/>
    </w:pPr>
    <w:rPr>
      <w:b/>
      <w:bCs/>
    </w:rPr>
  </w:style>
  <w:style w:type="paragraph" w:styleId="NoSpacing">
    <w:name w:val="No Spacing,Приложение АР"/>
    <w:basedOn w:val="Heading1"/>
    <w:next w:val="2-1"/>
    <w:qFormat/>
    <w:pPr>
      <w:keepNext w:val="true"/>
      <w:spacing w:lineRule="auto" w:line="240" w:before="240" w:after="240"/>
      <w:jc w:val="right"/>
    </w:pPr>
    <w:rPr>
      <w:b/>
      <w:bCs/>
      <w:iCs/>
      <w:sz w:val="24"/>
    </w:rPr>
  </w:style>
  <w:style w:type="paragraph" w:styleId="13">
    <w:name w:val="АР Прил1"/>
    <w:basedOn w:val="NoSpacing"/>
    <w:qFormat/>
    <w:pPr>
      <w:keepNext w:val="true"/>
      <w:spacing w:lineRule="auto" w:line="240" w:before="240" w:after="0"/>
      <w:ind w:firstLine="4820" w:left="0" w:right="0"/>
    </w:pPr>
    <w:rPr>
      <w:bCs/>
      <w:iCs/>
      <w:sz w:val="24"/>
    </w:rPr>
  </w:style>
  <w:style w:type="paragraph" w:styleId="TableGrid">
    <w:name w:val="Table Grid"/>
    <w:basedOn w:val="NormalTable"/>
    <w:qFormat/>
    <w:pPr>
      <w:pBdr/>
      <w:spacing w:lineRule="auto" w:line="240" w:before="0" w:after="0"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NSimSun" w:cs="Liberation Mono"/>
      <w:sz w:val="20"/>
      <w:szCs w:val="20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Header">
    <w:name w:val="Header"/>
    <w:basedOn w:val="HeaderandFooter"/>
    <w:pPr>
      <w:suppressLineNumbers/>
    </w:pPr>
    <w:rPr/>
  </w:style>
  <w:style w:type="paragraph" w:styleId="HeaderLeft">
    <w:name w:val="Header Left"/>
    <w:basedOn w:val="Header"/>
    <w:qFormat/>
    <w:pPr>
      <w:suppressLineNumbers/>
    </w:pPr>
    <w:rPr/>
  </w:style>
  <w:style w:type="paragraph" w:styleId="LO-Normal">
    <w:name w:val="LO-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paragraph" w:styleId="LO-Normal0">
    <w:name w:val="LO-Normal0"/>
    <w:qFormat/>
    <w:pPr>
      <w:widowControl/>
      <w:suppressAutoHyphens w:val="true"/>
      <w:kinsoku w:val="true"/>
      <w:overflowPunct w:val="true"/>
      <w:autoSpaceDE w:val="true"/>
      <w:bidi w:val="0"/>
      <w:spacing w:lineRule="auto" w:line="264" w:before="0" w:after="56"/>
      <w:ind w:hanging="10" w:left="48" w:right="0"/>
      <w:jc w:val="both"/>
    </w:pPr>
    <w:rPr>
      <w:rFonts w:ascii="Times New Roman" w:hAnsi="Times New Roman" w:eastAsia="Times New Roman" w:cs="Times New Roman"/>
      <w:color w:val="000000"/>
      <w:kern w:val="2"/>
      <w:sz w:val="26"/>
      <w:szCs w:val="24"/>
      <w:lang w:val="ru-RU" w:eastAsia="zh-CN" w:bidi="hi-IN"/>
    </w:rPr>
  </w:style>
  <w:style w:type="numbering" w:styleId="podNumberedList">
    <w:name w:val="podNumberedList"/>
    <w:qFormat/>
  </w:style>
  <w:style w:type="numbering" w:styleId="podBulletedList">
    <w:name w:val="podBulletedList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24915</TotalTime>
  <Application>LibreOffice/24.2.7.2$Linux_X86_64 LibreOffice_project/420$Build-2</Application>
  <AppVersion>15.0000</AppVersion>
  <Pages>8</Pages>
  <Words>30</Words>
  <Characters>260</Characters>
  <CharactersWithSpaces>269</CharactersWithSpaces>
  <Paragraphs>82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dcterms:modified xsi:type="dcterms:W3CDTF">2025-05-23T12:30:53Z</dcterms:modified>
  <cp:revision>1223</cp:revision>
  <dc:subject/>
  <dc:title>20260915-100504.298816.template.result</dc:title>
</cp:coreProperties>
</file>