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03"/>
        <w:gridCol w:w="2034"/>
        <w:gridCol w:w="4985"/>
      </w:tblGrid>
      <w:tr w:rsidR="00403EEE">
        <w:trPr>
          <w:trHeight w:val="283"/>
        </w:trPr>
        <w:tc>
          <w:tcPr>
            <w:tcW w:w="2903" w:type="dxa"/>
          </w:tcPr>
          <w:p w:rsidR="00403EEE" w:rsidRDefault="00403EEE">
            <w:pPr>
              <w:pStyle w:val="TableContents"/>
              <w:pageBreakBefore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403EEE" w:rsidRDefault="00403EEE">
            <w:pPr>
              <w:widowControl w:val="0"/>
              <w:tabs>
                <w:tab w:val="left" w:pos="915"/>
              </w:tabs>
              <w:jc w:val="center"/>
              <w:textAlignment w:val="baseline"/>
              <w:rPr>
                <w:rFonts w:eastAsia="Andale Sans UI" w:cs="Times New Roman"/>
                <w:color w:val="FFFFFF"/>
                <w:sz w:val="28"/>
                <w:szCs w:val="28"/>
                <w:shd w:val="clear" w:color="auto" w:fill="FFFFFF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03EEE" w:rsidRDefault="00C539E9" w:rsidP="00317417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  <w:r w:rsidR="00317417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C539E9"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317417" w:rsidRDefault="00317417" w:rsidP="00317417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административному </w:t>
            </w:r>
          </w:p>
          <w:p w:rsidR="00317417" w:rsidRDefault="00317417" w:rsidP="00317417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регламенту предоставления</w:t>
            </w:r>
          </w:p>
          <w:p w:rsidR="00317417" w:rsidRDefault="00317417" w:rsidP="00317417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муниципальной услуги </w:t>
            </w:r>
          </w:p>
          <w:p w:rsidR="00317417" w:rsidRDefault="00317417" w:rsidP="00317417">
            <w:pPr>
              <w:ind w:left="1529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  <w:p w:rsidR="00C539E9" w:rsidRPr="00C539E9" w:rsidRDefault="00C539E9" w:rsidP="00C539E9">
            <w:pPr>
              <w:rPr>
                <w:rFonts w:hint="eastAsia"/>
              </w:rPr>
            </w:pPr>
          </w:p>
        </w:tc>
      </w:tr>
    </w:tbl>
    <w:p w:rsidR="00403EEE" w:rsidRDefault="00C539E9">
      <w:pPr>
        <w:pStyle w:val="21"/>
        <w:spacing w:line="276" w:lineRule="auto"/>
        <w:outlineLvl w:val="1"/>
        <w:rPr>
          <w:sz w:val="28"/>
          <w:szCs w:val="28"/>
        </w:rPr>
      </w:pPr>
      <w:r>
        <w:rPr>
          <w:b w:val="0"/>
          <w:sz w:val="28"/>
          <w:szCs w:val="28"/>
          <w:lang w:eastAsia="ar-SA"/>
        </w:rPr>
        <w:t>Перечень</w:t>
      </w:r>
      <w:r>
        <w:rPr>
          <w:b w:val="0"/>
          <w:sz w:val="28"/>
          <w:szCs w:val="28"/>
          <w:lang w:eastAsia="ar-SA"/>
        </w:rPr>
        <w:br/>
        <w:t>нормативных правовых актов Российской Федерации,</w:t>
      </w:r>
      <w:r>
        <w:rPr>
          <w:b w:val="0"/>
          <w:sz w:val="28"/>
          <w:szCs w:val="28"/>
          <w:lang w:eastAsia="ar-SA"/>
        </w:rPr>
        <w:br/>
        <w:t>нормативных правовых актов Московской области,</w:t>
      </w:r>
      <w:r>
        <w:rPr>
          <w:b w:val="0"/>
          <w:sz w:val="28"/>
          <w:szCs w:val="28"/>
          <w:lang w:eastAsia="ar-SA"/>
        </w:rPr>
        <w:br/>
      </w:r>
      <w:bookmarkStart w:id="1" w:name="_Toc91253276"/>
      <w:r>
        <w:rPr>
          <w:b w:val="0"/>
          <w:sz w:val="28"/>
          <w:szCs w:val="28"/>
          <w:lang w:eastAsia="ar-SA"/>
        </w:rPr>
        <w:t xml:space="preserve">регулирующих предоставление </w:t>
      </w:r>
      <w:bookmarkEnd w:id="1"/>
      <w:r>
        <w:rPr>
          <w:b w:val="0"/>
          <w:sz w:val="28"/>
          <w:szCs w:val="28"/>
          <w:lang w:eastAsia="ar-SA"/>
        </w:rPr>
        <w:t>муниципальной услуги «Выдача согласия или получение согласования владельца автомобильной дороги местного значения Московской области на строительство, реконструкцию, капитальный ремонт, ремонт пересечения, примыкания (присоединения) к автомобильной дороге общего пользования местного значения Московской области другой автомобильной дороги, строительство, реконструкцию, капитальный ремонт объектов дорожного сервиса или строительство, реконструкцию, капитальный ремонт и ремонт примыканий объектов дорожного сервиса к автомобильным дорогам местного значения Московской области, а также стационарных торговых объектов общей площадью свыше десяти тысяч квадратных метров, присоединяемых к автомобильным дорогам, строительство, реконструкцию объектов капитального строительства, объектов, предназначенных для осуществления дорожной деятельности, объектов дорожного сервиса, установку рекламных конструкций, информационных щитов и указателей, прокладку, переустройство, перенос инженерных коммуникаций, их эксплуатацию в границах полосы отвода и придорожной полосы автомобильной дороги общего пользования местного значения Московской области»</w:t>
      </w:r>
    </w:p>
    <w:p w:rsidR="00403EEE" w:rsidRDefault="00403EEE">
      <w:pPr>
        <w:rPr>
          <w:rFonts w:ascii="Times New Roman" w:hAnsi="Times New Roman"/>
          <w:sz w:val="28"/>
          <w:szCs w:val="28"/>
        </w:rPr>
      </w:pP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Конституция Российской Федерации.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Земельный кодекс Российской Федерации.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Градостроительный кодекс Российской Федерации.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Гражданский кодекс Российской Федерации.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08.11.2007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257⁠-⁠ФЗ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автомобильных дорогах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дорожной деятельности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Российской Федерации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отдельные законодательные акты Российской Федерации».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10.12.1995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196⁠-⁠ФЗ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безопасности дорожного движения».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06.10.2003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131⁠-⁠ФЗ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общих принципах организации местного самоуправления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Российской Федерации».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13.03.2006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38⁠-⁠ФЗ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рекламе».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lastRenderedPageBreak/>
        <w:t>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27.07.2010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210⁠-⁠ФЗ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организации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Федеральный закон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06.04.2011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63⁠-⁠ФЗ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электронной подписи».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23.10.1993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1090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Правилах дорожного движения».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20.11.2012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1198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действий (бездействия), совершенных при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предоставлении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Российский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22.12.2012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1376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Правил организации деятельности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25.01.2013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33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использовании простой электронной подписи при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оказании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20.07.2021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1228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Правил разработки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утверждения административных регламентов предоставления государственных услуг, 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некоторые акты Правительства Российской Федерации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признании утратившими силу некоторых актов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отдельных положений актов Правительства Российской Федерации».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02.09.2009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717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нормах отвода земель для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размещения автомобильных дорог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(или) объектов дорожного сервиса».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Российской Федерации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26.03.2016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236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требованиях к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предоставлению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электронной форме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37/2016⁠-⁠ОЗ «Кодекс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административных правонарушениях».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19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Закон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121/2009⁠-⁠ОЗ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обеспечении беспрепятственного доступа инвалидов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маломобильных групп населения к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объектам социальной, транспортной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инженерной инфраструктур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601/33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особенностях подачи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рассмотрения жалоб на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решения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действия (бездействие)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 xml:space="preserve">области, предоставляющих государственные </w:t>
      </w:r>
      <w:r w:rsidRPr="00C539E9">
        <w:rPr>
          <w:bCs/>
          <w:sz w:val="28"/>
          <w:szCs w:val="28"/>
        </w:rPr>
        <w:lastRenderedPageBreak/>
        <w:t>услуги,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области, 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также 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их работников».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21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31.10.2018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792/37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требований к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форматам заявлений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иных документов, представляемых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форме электронных документов, необходимых для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22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16.04.2015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253/14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Порядка осуществления контроля за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предоставлением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внесении изменений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Положение 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Министерстве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23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08.08.2013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599/33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заключении соглашений 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информационном взаимодействии между Правительством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органами местного самоуправления муниципальных образований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 xml:space="preserve">сфере </w:t>
      </w:r>
      <w:proofErr w:type="spellStart"/>
      <w:r w:rsidRPr="00C539E9">
        <w:rPr>
          <w:bCs/>
          <w:sz w:val="28"/>
          <w:szCs w:val="28"/>
        </w:rPr>
        <w:t>земельно</w:t>
      </w:r>
      <w:proofErr w:type="spellEnd"/>
      <w:r w:rsidRPr="00C539E9">
        <w:rPr>
          <w:bCs/>
          <w:sz w:val="28"/>
          <w:szCs w:val="28"/>
        </w:rPr>
        <w:t>⁠-⁠имущественных отношений».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24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25.03.2016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230/8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Схемы территориального планирования транспортного обслуживания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25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25.04.2011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365/15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Порядка разработки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области, государственными органами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26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Постановление Правительства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03.11.2011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1345/45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мерах по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улучшению организации движения транспорта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27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30.10.2018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10⁠-⁠121/РВ «Об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утверждении Положения об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осуществлении контроля за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порядком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 на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территории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p w:rsidR="00403EEE" w:rsidRDefault="00C539E9">
      <w:pPr>
        <w:spacing w:line="276" w:lineRule="auto"/>
        <w:ind w:firstLine="709"/>
        <w:jc w:val="both"/>
        <w:rPr>
          <w:rFonts w:hint="eastAsia"/>
          <w:sz w:val="28"/>
          <w:szCs w:val="28"/>
        </w:rPr>
      </w:pPr>
      <w:r w:rsidRPr="00C539E9">
        <w:rPr>
          <w:bCs/>
          <w:sz w:val="28"/>
          <w:szCs w:val="28"/>
        </w:rPr>
        <w:t>28</w:t>
      </w:r>
      <w:r>
        <w:rPr>
          <w:bCs/>
          <w:sz w:val="28"/>
          <w:szCs w:val="28"/>
        </w:rPr>
        <w:t>.</w:t>
      </w:r>
      <w:r>
        <w:rPr>
          <w:rFonts w:ascii="Times New Roman" w:hAnsi="Times New Roman"/>
          <w:bCs/>
          <w:color w:val="000000"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связи 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 от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21.07.2016 №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10⁠-⁠57/РВ «О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 xml:space="preserve">региональном стандарте организации деятельности </w:t>
      </w:r>
      <w:r w:rsidRPr="00C539E9">
        <w:rPr>
          <w:bCs/>
          <w:sz w:val="28"/>
          <w:szCs w:val="28"/>
        </w:rPr>
        <w:lastRenderedPageBreak/>
        <w:t>многофункциональных центров предоставления государственных и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муниципальных услуг в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Московской</w:t>
      </w:r>
      <w:r>
        <w:rPr>
          <w:bCs/>
          <w:sz w:val="28"/>
          <w:szCs w:val="28"/>
          <w:lang w:val="en-US"/>
        </w:rPr>
        <w:t> </w:t>
      </w:r>
      <w:r w:rsidRPr="00C539E9">
        <w:rPr>
          <w:bCs/>
          <w:sz w:val="28"/>
          <w:szCs w:val="28"/>
        </w:rPr>
        <w:t>области».</w:t>
      </w:r>
    </w:p>
    <w:sectPr w:rsidR="00403EEE">
      <w:pgSz w:w="11906" w:h="16838"/>
      <w:pgMar w:top="1134" w:right="850" w:bottom="1134" w:left="1134" w:header="0" w:footer="0" w:gutter="0"/>
      <w:cols w:space="720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AA528F"/>
    <w:multiLevelType w:val="multilevel"/>
    <w:tmpl w:val="1F6844B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abstractNum w:abstractNumId="1" w15:restartNumberingAfterBreak="0">
    <w:nsid w:val="3EF73B84"/>
    <w:multiLevelType w:val="multilevel"/>
    <w:tmpl w:val="F42869C8"/>
    <w:lvl w:ilvl="0">
      <w:start w:val="1"/>
      <w:numFmt w:val="bullet"/>
      <w:pStyle w:val="podBulletIte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4AEE4D45"/>
    <w:multiLevelType w:val="multilevel"/>
    <w:tmpl w:val="377CF298"/>
    <w:lvl w:ilvl="0">
      <w:start w:val="1"/>
      <w:numFmt w:val="decimal"/>
      <w:pStyle w:val="podNumberItem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F35EA5"/>
    <w:multiLevelType w:val="multilevel"/>
    <w:tmpl w:val="6BD07E8E"/>
    <w:lvl w:ilvl="0">
      <w:start w:val="1"/>
      <w:numFmt w:val="none"/>
      <w:pStyle w:val="1"/>
      <w:suff w:val="nothing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%5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%6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4DAF0B22"/>
    <w:multiLevelType w:val="multilevel"/>
    <w:tmpl w:val="938AC150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shd w:val="clear" w:color="auto" w:fill="auto"/>
        <w:vertAlign w:val="baseline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EEE"/>
    <w:rsid w:val="00317417"/>
    <w:rsid w:val="00403EEE"/>
    <w:rsid w:val="00C53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9FBF6B-AAF5-45BC-9495-AE89E3C55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Heading"/>
    <w:next w:val="a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Heading"/>
    <w:next w:val="a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Heading"/>
    <w:next w:val="a"/>
    <w:qFormat/>
    <w:pPr>
      <w:numPr>
        <w:ilvl w:val="2"/>
        <w:numId w:val="1"/>
      </w:numPr>
      <w:spacing w:before="140"/>
      <w:outlineLvl w:val="2"/>
    </w:pPr>
    <w:rPr>
      <w:b/>
      <w:bCs/>
      <w:color w:val="808080"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shd w:val="clear" w:color="auto" w:fill="auto"/>
      <w:vertAlign w:val="baseline"/>
    </w:rPr>
  </w:style>
  <w:style w:type="character" w:customStyle="1" w:styleId="a3">
    <w:name w:val="обычный приложения Знак"/>
    <w:basedOn w:val="a0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3"/>
    <w:qFormat/>
    <w:rPr>
      <w:rFonts w:ascii="Times New Roman" w:eastAsia="Calibri" w:hAnsi="Times New Roman"/>
      <w:b/>
      <w:sz w:val="24"/>
      <w:szCs w:val="24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numPr>
        <w:numId w:val="2"/>
      </w:numPr>
    </w:pPr>
  </w:style>
  <w:style w:type="paragraph" w:customStyle="1" w:styleId="podNumberItem">
    <w:name w:val="podNumberItem"/>
    <w:basedOn w:val="a"/>
    <w:qFormat/>
    <w:pPr>
      <w:numPr>
        <w:numId w:val="3"/>
      </w:numPr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7">
    <w:name w:val="обычный приложения"/>
    <w:basedOn w:val="a"/>
    <w:qFormat/>
    <w:pPr>
      <w:jc w:val="center"/>
    </w:pPr>
    <w:rPr>
      <w:rFonts w:ascii="Times New Roman" w:eastAsia="Calibri" w:hAnsi="Times New Roman"/>
      <w:b/>
    </w:rPr>
  </w:style>
  <w:style w:type="paragraph" w:customStyle="1" w:styleId="21">
    <w:name w:val="АР Прил 2"/>
    <w:basedOn w:val="a7"/>
    <w:qFormat/>
  </w:style>
  <w:style w:type="paragraph" w:customStyle="1" w:styleId="2-">
    <w:name w:val="Рег. Заголовок 2-го уровня регламента"/>
    <w:basedOn w:val="a"/>
    <w:qFormat/>
    <w:pPr>
      <w:jc w:val="center"/>
      <w:outlineLvl w:val="1"/>
    </w:pPr>
    <w:rPr>
      <w:rFonts w:ascii="Times New Roman" w:eastAsia="Calibri" w:hAnsi="Times New Roman"/>
      <w:b/>
      <w:bCs/>
    </w:rPr>
  </w:style>
  <w:style w:type="paragraph" w:styleId="a8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1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1000</Words>
  <Characters>5700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Кристина Николаевна Крашенинина</dc:creator>
  <dc:description/>
  <cp:lastModifiedBy>Кристина Николаевна Крашенинина</cp:lastModifiedBy>
  <cp:revision>3</cp:revision>
  <dcterms:created xsi:type="dcterms:W3CDTF">2025-08-18T09:53:00Z</dcterms:created>
  <dcterms:modified xsi:type="dcterms:W3CDTF">2025-08-19T07:36:00Z</dcterms:modified>
  <dc:language>en-US</dc:language>
</cp:coreProperties>
</file>