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5000" w:type="pct"/>
        <w:jc w:val="left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903"/>
        <w:gridCol w:w="2034"/>
        <w:gridCol w:w="4985"/>
      </w:tblGrid>
      <w:tr>
        <w:trPr>
          <w:trHeight w:val="283" w:hRule="atLeast"/>
        </w:trPr>
        <w:tc>
          <w:tcPr>
            <w:tcW w:w="2903" w:type="dxa"/>
            <w:tcBorders/>
          </w:tcPr>
          <w:p>
            <w:pPr>
              <w:pStyle w:val="TableContents"/>
              <w:pageBreakBefore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</w:r>
          </w:p>
        </w:tc>
        <w:tc>
          <w:tcPr>
            <w:tcW w:w="2034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9"/>
                <w:tab w:val="left" w:pos="565" w:leader="none"/>
              </w:tabs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textAlignment w:val="baseline"/>
              <w:rPr>
                <w:rFonts w:ascii="Liberation Serif" w:hAnsi="Liberation Serif" w:eastAsia="Andale Sans UI" w:cs="Times New Roman"/>
                <w:color w:val="FFFFFF"/>
                <w:kern w:val="2"/>
                <w:sz w:val="28"/>
                <w:szCs w:val="28"/>
                <w:shd w:fill="FFFFFF" w:val="clear"/>
                <w:lang w:val="de-DE" w:eastAsia="ja-JP" w:bidi="fa-IR"/>
              </w:rPr>
            </w:pPr>
            <w:r>
              <w:rPr>
                <w:rFonts w:eastAsia="Andale Sans UI" w:cs="Times New Roman"/>
                <w:color w:val="FFFFFF"/>
                <w:kern w:val="2"/>
                <w:sz w:val="28"/>
                <w:szCs w:val="28"/>
                <w:shd w:fill="FFFFFF" w:val="clear"/>
                <w:lang w:val="de-DE" w:eastAsia="ja-JP" w:bidi="fa-IR"/>
              </w:rPr>
            </w:r>
          </w:p>
        </w:tc>
        <w:tc>
          <w:tcPr>
            <w:tcW w:w="4985" w:type="dxa"/>
            <w:tcBorders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  <w:p>
            <w:pPr>
              <w:pStyle w:val="Normal"/>
              <w:numPr>
                <w:ilvl w:val="0"/>
                <w:numId w:val="0"/>
              </w:numPr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 административному</w:t>
            </w:r>
          </w:p>
          <w:p>
            <w:pPr>
              <w:pStyle w:val="Normal"/>
              <w:numPr>
                <w:ilvl w:val="0"/>
                <w:numId w:val="0"/>
              </w:numPr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регламенту предоставления</w:t>
            </w:r>
          </w:p>
          <w:p>
            <w:pPr>
              <w:pStyle w:val="Normal"/>
              <w:numPr>
                <w:ilvl w:val="0"/>
                <w:numId w:val="0"/>
              </w:numPr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муниципальной услуги «Утверждение</w:t>
            </w:r>
          </w:p>
          <w:p>
            <w:pPr>
              <w:pStyle w:val="Normal"/>
              <w:numPr>
                <w:ilvl w:val="0"/>
                <w:numId w:val="0"/>
              </w:numPr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схемы раздела или объединения</w:t>
            </w:r>
          </w:p>
          <w:p>
            <w:pPr>
              <w:pStyle w:val="Normal"/>
              <w:numPr>
                <w:ilvl w:val="0"/>
                <w:numId w:val="0"/>
              </w:numPr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земельных участков, находящихся</w:t>
            </w:r>
          </w:p>
          <w:p>
            <w:pPr>
              <w:pStyle w:val="Normal"/>
              <w:numPr>
                <w:ilvl w:val="0"/>
                <w:numId w:val="0"/>
              </w:numPr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 муниципальной собственности»,</w:t>
            </w:r>
          </w:p>
          <w:p>
            <w:pPr>
              <w:pStyle w:val="Normal"/>
              <w:numPr>
                <w:ilvl w:val="0"/>
                <w:numId w:val="0"/>
              </w:numPr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утвержденному постановлением</w:t>
            </w:r>
          </w:p>
          <w:p>
            <w:pPr>
              <w:pStyle w:val="Normal"/>
              <w:numPr>
                <w:ilvl w:val="0"/>
                <w:numId w:val="0"/>
              </w:numPr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Администрации городского округа</w:t>
            </w:r>
          </w:p>
          <w:p>
            <w:pPr>
              <w:pStyle w:val="Normal"/>
              <w:numPr>
                <w:ilvl w:val="0"/>
                <w:numId w:val="0"/>
              </w:numPr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Красногорск Московской области</w:t>
            </w:r>
          </w:p>
          <w:p>
            <w:pPr>
              <w:pStyle w:val="Normal"/>
              <w:numPr>
                <w:ilvl w:val="0"/>
                <w:numId w:val="0"/>
              </w:numPr>
              <w:ind w:left="0" w:right="0" w:hanging="0"/>
              <w:jc w:val="left"/>
              <w:rPr>
                <w:rFonts w:ascii="Times New Roman" w:hAnsi="Times New Roman" w:eastAsia="Calibri"/>
                <w:b w:val="false"/>
                <w:b w:val="false"/>
                <w:bCs w:val="false"/>
                <w:color w:val="FFFFFF"/>
                <w:spacing w:val="10"/>
                <w:sz w:val="28"/>
                <w:szCs w:val="28"/>
                <w:lang w:val="ru-RU"/>
              </w:rPr>
            </w:pPr>
            <w:r>
              <w:rPr>
                <w:rFonts w:eastAsia="Calibri" w:ascii="Times New Roman" w:hAnsi="Times New Roman"/>
                <w:b w:val="false"/>
                <w:bCs w:val="false"/>
                <w:color w:val="FFFFFF"/>
                <w:spacing w:val="10"/>
                <w:sz w:val="28"/>
                <w:szCs w:val="28"/>
                <w:lang w:val="ru-RU"/>
              </w:rPr>
              <w:t>$orderNum$</w:t>
            </w:r>
          </w:p>
        </w:tc>
      </w:tr>
    </w:tbl>
    <w:p>
      <w:pPr>
        <w:pStyle w:val="Normal"/>
        <w:rPr/>
      </w:pPr>
      <w:r>
        <w:rPr/>
      </w:r>
    </w:p>
    <w:p>
      <w:pPr>
        <w:sectPr>
          <w:type w:val="nextPage"/>
          <w:pgSz w:w="11906" w:h="16838"/>
          <w:pgMar w:left="1134" w:right="850" w:gutter="0" w:header="0" w:top="1134" w:footer="0" w:bottom="1134"/>
          <w:pgNumType w:fmt="decimal"/>
          <w:formProt w:val="false"/>
          <w:textDirection w:val="lrTb"/>
          <w:docGrid w:type="default" w:linePitch="312" w:charSpace="4294961151"/>
        </w:sectPr>
      </w:pPr>
    </w:p>
    <w:p>
      <w:pPr>
        <w:pStyle w:val="Footnote"/>
        <w:numPr>
          <w:ilvl w:val="0"/>
          <w:numId w:val="0"/>
        </w:numPr>
        <w:bidi w:val="0"/>
        <w:spacing w:lineRule="auto" w:line="276"/>
        <w:ind w:left="0" w:right="0" w:hanging="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</w:t>
        <w:br/>
        <w:t>общих признаков, по которым объединяются</w:t>
        <w:br/>
        <w:t>категории заявителей, а также комбинации признаков заявителей,</w:t>
        <w:br/>
        <w:t xml:space="preserve">каждая из которых соответствует </w:t>
      </w:r>
      <w:r>
        <w:rPr>
          <w:rFonts w:ascii="Times New Roman" w:hAnsi="Times New Roman"/>
          <w:sz w:val="28"/>
          <w:szCs w:val="28"/>
        </w:rPr>
        <w:t>вариантам</w:t>
      </w:r>
      <w:r>
        <w:rPr>
          <w:rFonts w:ascii="Times New Roman" w:hAnsi="Times New Roman"/>
          <w:sz w:val="28"/>
          <w:szCs w:val="28"/>
        </w:rPr>
        <w:t xml:space="preserve"> предоставления муниципальной услуги </w:t>
      </w:r>
      <w:r>
        <w:rPr>
          <w:rFonts w:ascii="Times New Roman" w:hAnsi="Times New Roman"/>
          <w:sz w:val="28"/>
          <w:szCs w:val="28"/>
          <w:lang w:val="ru-RU"/>
        </w:rPr>
        <w:t>«Утверждение схемы раздела или объединения земельных участков, находящихся в муниципальной собственности»</w:t>
      </w:r>
    </w:p>
    <w:p>
      <w:pPr>
        <w:sectPr>
          <w:type w:val="continuous"/>
          <w:pgSz w:w="11906" w:h="16838"/>
          <w:pgMar w:left="1134" w:right="850" w:gutter="0" w:header="0" w:top="1134" w:footer="0" w:bottom="1134"/>
          <w:formProt w:val="false"/>
          <w:textDirection w:val="lrTb"/>
          <w:docGrid w:type="default" w:linePitch="312" w:charSpace="4294961151"/>
        </w:sectPr>
      </w:pPr>
    </w:p>
    <w:p>
      <w:pPr>
        <w:pStyle w:val="Footnote"/>
        <w:numPr>
          <w:ilvl w:val="0"/>
          <w:numId w:val="0"/>
        </w:numPr>
        <w:bidi w:val="0"/>
        <w:spacing w:lineRule="auto" w:line="276"/>
        <w:ind w:left="0" w:right="0" w:firstLine="709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Footnote"/>
        <w:numPr>
          <w:ilvl w:val="0"/>
          <w:numId w:val="0"/>
        </w:numPr>
        <w:bidi w:val="0"/>
        <w:spacing w:lineRule="auto" w:line="276"/>
        <w:ind w:left="0" w:right="0" w:hanging="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Общие признаки, по которым объединяются категории заявителей</w:t>
      </w:r>
    </w:p>
    <w:tbl>
      <w:tblPr>
        <w:tblW w:w="5000" w:type="pct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728"/>
        <w:gridCol w:w="4320"/>
        <w:gridCol w:w="4874"/>
      </w:tblGrid>
      <w:tr>
        <w:trPr/>
        <w:tc>
          <w:tcPr>
            <w:tcW w:w="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ind w:left="0" w:right="0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ind w:left="0" w:right="0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Общие признаки</w:t>
            </w:r>
          </w:p>
        </w:tc>
        <w:tc>
          <w:tcPr>
            <w:tcW w:w="4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ind w:left="0" w:right="0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Категория</w:t>
            </w:r>
          </w:p>
        </w:tc>
      </w:tr>
      <w:tr>
        <w:trPr/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юридические лица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которым земельный участок предоставлен на праве постоянного (бессрочного) пользования</w:t>
            </w:r>
          </w:p>
        </w:tc>
      </w:tr>
      <w:tr>
        <w:trPr/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физические лица – граждане Российской Федерации, иностранные граждане, лица без гражданства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которым земельный участок предоставлен на праве пожизненного наследуемого владения</w:t>
            </w:r>
          </w:p>
        </w:tc>
      </w:tr>
      <w:tr>
        <w:trPr/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физические лица – граждане Российской Федерации, иностранные граждане, лица без гражданства</w:t>
            </w:r>
          </w:p>
          <w:p>
            <w:pPr>
              <w:pStyle w:val="TableContents"/>
              <w:bidi w:val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юридические лица</w:t>
            </w:r>
          </w:p>
          <w:p>
            <w:pPr>
              <w:pStyle w:val="TableContents"/>
              <w:bidi w:val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индивидуальные предприниматели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которым земельный участок предоставлен в безвозмездное пользование</w:t>
            </w:r>
          </w:p>
        </w:tc>
      </w:tr>
      <w:tr>
        <w:trPr/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физические лица – граждане Российской Федерации, иностранные граждане, лица без гражданства</w:t>
            </w:r>
          </w:p>
          <w:p>
            <w:pPr>
              <w:pStyle w:val="TableContents"/>
              <w:bidi w:val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юридические лица</w:t>
            </w:r>
          </w:p>
          <w:p>
            <w:pPr>
              <w:pStyle w:val="TableContents"/>
              <w:bidi w:val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индивидуальные предприниматели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которым земельный участок предоставлен на праве аренды</w:t>
            </w:r>
          </w:p>
        </w:tc>
      </w:tr>
    </w:tbl>
    <w:p>
      <w:pPr>
        <w:pStyle w:val="Footnote"/>
        <w:widowControl w:val="false"/>
        <w:tabs>
          <w:tab w:val="clear" w:pos="709"/>
        </w:tabs>
        <w:bidi w:val="0"/>
        <w:spacing w:lineRule="auto" w:line="276"/>
        <w:ind w:left="0" w:right="0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sectPr>
          <w:type w:val="continuous"/>
          <w:pgSz w:w="11906" w:h="16838"/>
          <w:pgMar w:left="1134" w:right="850" w:gutter="0" w:header="0" w:top="1134" w:footer="0" w:bottom="1134"/>
          <w:pgNumType w:fmt="decimal"/>
          <w:formProt w:val="false"/>
          <w:textDirection w:val="lrTb"/>
          <w:docGrid w:type="default" w:linePitch="312" w:charSpace="4294961151"/>
        </w:sectPr>
      </w:pPr>
    </w:p>
    <w:p>
      <w:pPr>
        <w:pStyle w:val="Footnote"/>
        <w:widowControl w:val="false"/>
        <w:tabs>
          <w:tab w:val="clear" w:pos="709"/>
        </w:tabs>
        <w:bidi w:val="0"/>
        <w:spacing w:lineRule="auto" w:line="276"/>
        <w:ind w:left="0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Комбинации признаков заявителей,</w:t>
        <w:br/>
        <w:t xml:space="preserve">каждая из которых соответствует </w:t>
      </w:r>
      <w:r>
        <w:rPr>
          <w:rFonts w:ascii="Times New Roman" w:hAnsi="Times New Roman"/>
          <w:sz w:val="28"/>
          <w:szCs w:val="28"/>
        </w:rPr>
        <w:t>вариант</w:t>
      </w:r>
      <w:r>
        <w:rPr>
          <w:rFonts w:ascii="Times New Roman" w:hAnsi="Times New Roman"/>
          <w:sz w:val="28"/>
          <w:szCs w:val="28"/>
        </w:rPr>
        <w:t>ам</w:t>
      </w:r>
      <w:r>
        <w:rPr>
          <w:rFonts w:ascii="Times New Roman" w:hAnsi="Times New Roman"/>
          <w:sz w:val="28"/>
          <w:szCs w:val="28"/>
        </w:rPr>
        <w:br/>
        <w:t>предоставления муниципальной услуги</w:t>
      </w:r>
    </w:p>
    <w:tbl>
      <w:tblPr>
        <w:tblW w:w="9917" w:type="dxa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704"/>
        <w:gridCol w:w="4370"/>
        <w:gridCol w:w="4843"/>
      </w:tblGrid>
      <w:tr>
        <w:trPr/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tabs>
                <w:tab w:val="clear" w:pos="709"/>
                <w:tab w:val="left" w:pos="645" w:leader="none"/>
              </w:tabs>
              <w:spacing w:lineRule="auto" w:line="276" w:before="0" w:after="0"/>
              <w:ind w:left="0" w:right="0" w:hanging="0"/>
              <w:jc w:val="both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color w:val="000000"/>
                <w:sz w:val="28"/>
                <w:szCs w:val="28"/>
              </w:rPr>
              <w:t>юридические лица:  которым земельный участок предоставлен на праве постоянного (бессрочного) пользования,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Footnote"/>
              <w:widowControl w:val="false"/>
              <w:tabs>
                <w:tab w:val="clear" w:pos="709"/>
              </w:tabs>
              <w:bidi w:val="0"/>
              <w:spacing w:lineRule="auto" w:line="276"/>
              <w:ind w:left="0" w:right="0" w:hanging="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>вариант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>ы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предоставления муниципальной услуги, указанны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>подпунктах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>17.1.1, 17.1.9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 xml:space="preserve">пункта 17.1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Регламента</w:t>
            </w:r>
          </w:p>
        </w:tc>
      </w:tr>
      <w:tr>
        <w:trPr/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tabs>
                <w:tab w:val="clear" w:pos="709"/>
                <w:tab w:val="left" w:pos="645" w:leader="none"/>
              </w:tabs>
              <w:spacing w:lineRule="auto" w:line="276" w:before="0" w:after="0"/>
              <w:ind w:left="0" w:right="0" w:hanging="0"/>
              <w:jc w:val="both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color w:val="000000"/>
                <w:sz w:val="28"/>
                <w:szCs w:val="28"/>
              </w:rPr>
              <w:t>физические лица – граждане Российской Федерации, иностранные граждане, лица без гражданства:  которым земельный участок предоставлен на праве пожизненного наследуемого владения,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Footnote"/>
              <w:widowControl w:val="false"/>
              <w:tabs>
                <w:tab w:val="clear" w:pos="709"/>
              </w:tabs>
              <w:bidi w:val="0"/>
              <w:spacing w:lineRule="auto" w:line="276"/>
              <w:ind w:left="0" w:right="0" w:hanging="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>вариант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>ы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предоставления муниципальной услуги, указанны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>подпунктах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>17.1.2, 17.1.10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 xml:space="preserve">пункта 17.1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Регламента</w:t>
            </w:r>
          </w:p>
        </w:tc>
      </w:tr>
      <w:tr>
        <w:trPr/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tabs>
                <w:tab w:val="clear" w:pos="709"/>
                <w:tab w:val="left" w:pos="645" w:leader="none"/>
              </w:tabs>
              <w:spacing w:lineRule="auto" w:line="276" w:before="0" w:after="0"/>
              <w:ind w:left="0" w:right="0" w:hanging="0"/>
              <w:jc w:val="both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color w:val="000000"/>
                <w:sz w:val="28"/>
                <w:szCs w:val="28"/>
              </w:rPr>
              <w:t>физические лица – граждане Российской Федерации, иностранные граждане, лица без гражданства:  которым земельный участок предоставлен в безвозмездное пользование,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Footnote"/>
              <w:widowControl w:val="false"/>
              <w:tabs>
                <w:tab w:val="clear" w:pos="709"/>
              </w:tabs>
              <w:bidi w:val="0"/>
              <w:spacing w:lineRule="auto" w:line="276"/>
              <w:ind w:left="0" w:right="0" w:hanging="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>вариант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>ы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предоставления муниципальной услуги, указанны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>подпунктах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>17.1.3, 17.1.11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 xml:space="preserve">пункта 17.1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Регламента</w:t>
            </w:r>
          </w:p>
        </w:tc>
      </w:tr>
      <w:tr>
        <w:trPr/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tabs>
                <w:tab w:val="clear" w:pos="709"/>
                <w:tab w:val="left" w:pos="645" w:leader="none"/>
              </w:tabs>
              <w:spacing w:lineRule="auto" w:line="276" w:before="0" w:after="0"/>
              <w:ind w:left="0" w:right="0" w:hanging="0"/>
              <w:jc w:val="both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color w:val="000000"/>
                <w:sz w:val="28"/>
                <w:szCs w:val="28"/>
              </w:rPr>
              <w:t>юридические лица:  которым земельный участок предоставлен в безвозмездное пользование,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Footnote"/>
              <w:widowControl w:val="false"/>
              <w:tabs>
                <w:tab w:val="clear" w:pos="709"/>
              </w:tabs>
              <w:bidi w:val="0"/>
              <w:spacing w:lineRule="auto" w:line="276"/>
              <w:ind w:left="0" w:right="0" w:hanging="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>вариант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>ы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предоставления муниципальной услуги, указанны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>подпунктах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>17.1.4, 17.1.12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 xml:space="preserve">пункта 17.1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Регламента</w:t>
            </w:r>
          </w:p>
        </w:tc>
      </w:tr>
      <w:tr>
        <w:trPr/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tabs>
                <w:tab w:val="clear" w:pos="709"/>
                <w:tab w:val="left" w:pos="645" w:leader="none"/>
              </w:tabs>
              <w:spacing w:lineRule="auto" w:line="276" w:before="0" w:after="0"/>
              <w:ind w:left="0" w:right="0" w:hanging="0"/>
              <w:jc w:val="both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color w:val="000000"/>
                <w:sz w:val="28"/>
                <w:szCs w:val="28"/>
              </w:rPr>
              <w:t>индивидуальные предприниматели:  которым земельный участок предоставлен в безвозмездное пользование,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Footnote"/>
              <w:widowControl w:val="false"/>
              <w:tabs>
                <w:tab w:val="clear" w:pos="709"/>
              </w:tabs>
              <w:bidi w:val="0"/>
              <w:spacing w:lineRule="auto" w:line="276"/>
              <w:ind w:left="0" w:right="0" w:hanging="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>вариант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>ы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предоставления муниципальной услуги, указанны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>подпунктах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>17.1.5, 17.1.13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 xml:space="preserve">пункта 17.1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Регламента</w:t>
            </w:r>
          </w:p>
        </w:tc>
      </w:tr>
      <w:tr>
        <w:trPr/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tabs>
                <w:tab w:val="clear" w:pos="709"/>
                <w:tab w:val="left" w:pos="645" w:leader="none"/>
              </w:tabs>
              <w:spacing w:lineRule="auto" w:line="276" w:before="0" w:after="0"/>
              <w:ind w:left="0" w:right="0" w:hanging="0"/>
              <w:jc w:val="both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color w:val="000000"/>
                <w:sz w:val="28"/>
                <w:szCs w:val="28"/>
              </w:rPr>
              <w:t>физические лица – граждане Российской Федерации, иностранные граждане, лица без гражданства:  которым земельный участок предоставлен на праве аренды,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Footnote"/>
              <w:widowControl w:val="false"/>
              <w:tabs>
                <w:tab w:val="clear" w:pos="709"/>
              </w:tabs>
              <w:bidi w:val="0"/>
              <w:spacing w:lineRule="auto" w:line="276"/>
              <w:ind w:left="0" w:right="0" w:hanging="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>вариант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>ы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предоставления муниципальной услуги, указанны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>подпунктах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>17.1.6, 17.1.14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 xml:space="preserve">пункта 17.1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Регламента</w:t>
            </w:r>
          </w:p>
        </w:tc>
      </w:tr>
      <w:tr>
        <w:trPr/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tabs>
                <w:tab w:val="clear" w:pos="709"/>
                <w:tab w:val="left" w:pos="645" w:leader="none"/>
              </w:tabs>
              <w:spacing w:lineRule="auto" w:line="276" w:before="0" w:after="0"/>
              <w:ind w:left="0" w:right="0" w:hanging="0"/>
              <w:jc w:val="both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color w:val="000000"/>
                <w:sz w:val="28"/>
                <w:szCs w:val="28"/>
              </w:rPr>
              <w:t>юридические лица:  которым земельный участок предоставлен на праве аренды,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Footnote"/>
              <w:widowControl w:val="false"/>
              <w:tabs>
                <w:tab w:val="clear" w:pos="709"/>
              </w:tabs>
              <w:bidi w:val="0"/>
              <w:spacing w:lineRule="auto" w:line="276"/>
              <w:ind w:left="0" w:right="0" w:hanging="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>вариант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>ы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предоставления муниципальной услуги, указанны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>подпунктах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>17.1.7, 17.1.15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 xml:space="preserve">пункта 17.1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Регламента</w:t>
            </w:r>
          </w:p>
        </w:tc>
      </w:tr>
      <w:tr>
        <w:trPr/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tabs>
                <w:tab w:val="clear" w:pos="709"/>
                <w:tab w:val="left" w:pos="645" w:leader="none"/>
              </w:tabs>
              <w:spacing w:lineRule="auto" w:line="276" w:before="0" w:after="0"/>
              <w:ind w:left="0" w:right="0" w:hanging="0"/>
              <w:jc w:val="both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color w:val="000000"/>
                <w:sz w:val="28"/>
                <w:szCs w:val="28"/>
              </w:rPr>
              <w:t>индивидуальные предприниматели:  которым земельный участок предоставлен на праве аренды,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Footnote"/>
              <w:widowControl w:val="false"/>
              <w:tabs>
                <w:tab w:val="clear" w:pos="709"/>
              </w:tabs>
              <w:bidi w:val="0"/>
              <w:spacing w:lineRule="auto" w:line="276"/>
              <w:ind w:left="0" w:right="0" w:hanging="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>вариант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>ы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предоставления муниципальной услуги, указанны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>подпунктах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>17.1.8, 17.1.16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 xml:space="preserve">пункта 17.1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Регламента</w:t>
            </w:r>
          </w:p>
        </w:tc>
      </w:tr>
    </w:tbl>
    <w:p>
      <w:pPr>
        <w:pStyle w:val="Normal"/>
        <w:rPr>
          <w:sz w:val="4"/>
          <w:szCs w:val="4"/>
        </w:rPr>
      </w:pPr>
      <w:r>
        <w:rPr>
          <w:sz w:val="4"/>
          <w:szCs w:val="4"/>
        </w:rPr>
      </w:r>
    </w:p>
    <w:sectPr>
      <w:type w:val="continuous"/>
      <w:pgSz w:w="11906" w:h="16838"/>
      <w:pgMar w:left="1134" w:right="850" w:gutter="0" w:header="0" w:top="1134" w:footer="0" w:bottom="1134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StarSymbol">
    <w:altName w:val="Arial Unicode MS"/>
    <w:charset w:val="01"/>
    <w:family w:val="auto"/>
    <w:pitch w:val="default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%3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suff w:val="nothing"/>
      <w:lvlText w:val="%4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suff w:val="nothing"/>
      <w:lvlText w:val="%5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suff w:val="nothing"/>
      <w:lvlText w:val="%6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4"/>
      <w:numFmt w:val="decimal"/>
      <w:lvlText w:val="%1."/>
      <w:lvlJc w:val="left"/>
      <w:pPr>
        <w:tabs>
          <w:tab w:val="num" w:pos="0"/>
        </w:tabs>
        <w:ind w:left="35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Heading1">
    <w:name w:val="Heading 1"/>
    <w:basedOn w:val="Heading"/>
    <w:next w:val="Normal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Normal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Normal"/>
    <w:qFormat/>
    <w:pPr>
      <w:numPr>
        <w:ilvl w:val="2"/>
        <w:numId w:val="1"/>
      </w:numPr>
      <w:spacing w:before="140" w:after="120"/>
      <w:outlineLvl w:val="2"/>
    </w:pPr>
    <w:rPr>
      <w:b/>
      <w:bCs/>
      <w:color w:val="808080"/>
      <w:sz w:val="28"/>
      <w:szCs w:val="28"/>
    </w:rPr>
  </w:style>
  <w:style w:type="paragraph" w:styleId="Heading4">
    <w:name w:val="Heading 4"/>
    <w:basedOn w:val="Heading"/>
    <w:next w:val="Normal"/>
    <w:qFormat/>
    <w:pPr>
      <w:numPr>
        <w:ilvl w:val="3"/>
        <w:numId w:val="1"/>
      </w:numPr>
      <w:spacing w:before="120" w:after="120"/>
      <w:outlineLvl w:val="3"/>
    </w:pPr>
    <w:rPr>
      <w:b/>
      <w:bCs/>
      <w:i/>
      <w:iCs/>
      <w:color w:val="808080"/>
      <w:sz w:val="27"/>
      <w:szCs w:val="27"/>
    </w:rPr>
  </w:style>
  <w:style w:type="paragraph" w:styleId="Heading5">
    <w:name w:val="Heading 5"/>
    <w:basedOn w:val="Heading"/>
    <w:next w:val="Normal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Normal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styleId="PODNumberingSymbols">
    <w:name w:val="POD Numbering Symbols"/>
    <w:qFormat/>
    <w:rPr/>
  </w:style>
  <w:style w:type="character" w:styleId="PODBulletSymbols">
    <w:name w:val="POD Bullet Symbols"/>
    <w:qFormat/>
    <w:rPr>
      <w:rFonts w:ascii="StarSymbol" w:hAnsi="StarSymbol" w:eastAsia="StarSymbol" w:cs="StarSymbol"/>
      <w:sz w:val="18"/>
      <w:szCs w:val="18"/>
    </w:rPr>
  </w:style>
  <w:style w:type="character" w:styleId="WWCharLFO2LVL1">
    <w:name w:val="WW_CharLFO2LVL1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shd w:fill="auto" w:val="clear"/>
      <w:vertAlign w:val="baseline"/>
    </w:rPr>
  </w:style>
  <w:style w:type="character" w:styleId="WWCharLFO2LVL2">
    <w:name w:val="WW_CharLFO2LVL2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shd w:fill="auto" w:val="clear"/>
      <w:vertAlign w:val="baseline"/>
    </w:rPr>
  </w:style>
  <w:style w:type="character" w:styleId="WWCharLFO2LVL3">
    <w:name w:val="WW_CharLFO2LVL3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shd w:fill="auto" w:val="clear"/>
      <w:vertAlign w:val="baseline"/>
    </w:rPr>
  </w:style>
  <w:style w:type="character" w:styleId="WWCharLFO2LVL4">
    <w:name w:val="WW_CharLFO2LVL4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shd w:fill="auto" w:val="clear"/>
      <w:vertAlign w:val="baseline"/>
    </w:rPr>
  </w:style>
  <w:style w:type="character" w:styleId="WWCharLFO2LVL5">
    <w:name w:val="WW_CharLFO2LVL5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shd w:fill="auto" w:val="clear"/>
      <w:vertAlign w:val="baseline"/>
    </w:rPr>
  </w:style>
  <w:style w:type="character" w:styleId="WWCharLFO2LVL6">
    <w:name w:val="WW_CharLFO2LVL6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shd w:fill="auto" w:val="clear"/>
      <w:vertAlign w:val="baseline"/>
    </w:rPr>
  </w:style>
  <w:style w:type="character" w:styleId="WWCharLFO2LVL7">
    <w:name w:val="WW_CharLFO2LVL7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shd w:fill="auto" w:val="clear"/>
      <w:vertAlign w:val="baseline"/>
    </w:rPr>
  </w:style>
  <w:style w:type="character" w:styleId="WWCharLFO2LVL8">
    <w:name w:val="WW_CharLFO2LVL8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shd w:fill="auto" w:val="clear"/>
      <w:vertAlign w:val="baseline"/>
    </w:rPr>
  </w:style>
  <w:style w:type="character" w:styleId="WWCharLFO2LVL9">
    <w:name w:val="WW_CharLFO2LVL9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shd w:fill="auto" w:val="clear"/>
      <w:vertAlign w:val="baseline"/>
    </w:rPr>
  </w:style>
  <w:style w:type="character" w:styleId="DefaultParagraphFont">
    <w:name w:val="Default Paragraph Font"/>
    <w:qFormat/>
    <w:rPr/>
  </w:style>
  <w:style w:type="character" w:styleId="Style8">
    <w:name w:val="обычный приложения Знак"/>
    <w:basedOn w:val="DefaultParagraphFont"/>
    <w:qFormat/>
    <w:rPr>
      <w:rFonts w:ascii="Times New Roman" w:hAnsi="Times New Roman" w:eastAsia="Calibri"/>
      <w:b/>
      <w:sz w:val="24"/>
      <w:szCs w:val="24"/>
    </w:rPr>
  </w:style>
  <w:style w:type="character" w:styleId="2">
    <w:name w:val="АР Прил 2 Знак"/>
    <w:basedOn w:val="Style8"/>
    <w:qFormat/>
    <w:rPr>
      <w:rFonts w:ascii="Times New Roman" w:hAnsi="Times New Roman" w:eastAsia="Calibri"/>
      <w:b/>
      <w:sz w:val="24"/>
      <w:szCs w:val="24"/>
    </w:rPr>
  </w:style>
  <w:style w:type="paragraph" w:styleId="ParaKWN">
    <w:name w:val="ParaKWN"/>
    <w:basedOn w:val="Normal"/>
    <w:qFormat/>
    <w:pPr>
      <w:keepNext w:val="true"/>
    </w:pPr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PodPageBreakBefore">
    <w:name w:val="podPageBreakBefore"/>
    <w:qFormat/>
    <w:pPr>
      <w:pageBreakBefore/>
      <w:widowControl/>
      <w:kinsoku w:val="true"/>
      <w:overflowPunct w:val="true"/>
      <w:autoSpaceDE w:val="true"/>
      <w:bidi w:val="0"/>
      <w:spacing w:before="0" w:after="0"/>
      <w:ind w:left="0" w:right="0" w:hanging="0"/>
    </w:pPr>
    <w:rPr>
      <w:rFonts w:ascii="Liberation Serif" w:hAnsi="Liberation Serif" w:eastAsia="NSimSun" w:cs="Lucida Sans"/>
      <w:color w:val="auto"/>
      <w:kern w:val="2"/>
      <w:sz w:val="4"/>
      <w:szCs w:val="24"/>
      <w:lang w:val="ru-RU" w:eastAsia="zh-CN" w:bidi="hi-IN"/>
    </w:rPr>
  </w:style>
  <w:style w:type="paragraph" w:styleId="PodPageBreakAfter">
    <w:name w:val="podPageBreakAfter"/>
    <w:qFormat/>
    <w:pPr>
      <w:widowControl/>
      <w:kinsoku w:val="true"/>
      <w:overflowPunct w:val="true"/>
      <w:autoSpaceDE w:val="true"/>
      <w:bidi w:val="0"/>
      <w:spacing w:before="0" w:after="0"/>
      <w:ind w:left="0" w:right="0" w:hanging="0"/>
    </w:pPr>
    <w:rPr>
      <w:rFonts w:ascii="Liberation Serif" w:hAnsi="Liberation Serif" w:eastAsia="NSimSun" w:cs="Lucida Sans"/>
      <w:color w:val="auto"/>
      <w:kern w:val="2"/>
      <w:sz w:val="4"/>
      <w:szCs w:val="24"/>
      <w:lang w:val="ru-RU" w:eastAsia="zh-CN" w:bidi="hi-IN"/>
    </w:rPr>
  </w:style>
  <w:style w:type="paragraph" w:styleId="PodColumnBreak">
    <w:name w:val="podColumnBreak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PodBulletItem">
    <w:name w:val="podBulletItem"/>
    <w:basedOn w:val="Normal"/>
    <w:qFormat/>
    <w:pPr>
      <w:numPr>
        <w:ilvl w:val="0"/>
        <w:numId w:val="2"/>
      </w:numPr>
    </w:pPr>
    <w:rPr/>
  </w:style>
  <w:style w:type="paragraph" w:styleId="PodNumberItem">
    <w:name w:val="podNumberItem"/>
    <w:basedOn w:val="Normal"/>
    <w:qFormat/>
    <w:pPr>
      <w:numPr>
        <w:ilvl w:val="0"/>
        <w:numId w:val="3"/>
      </w:numPr>
    </w:pPr>
    <w:rPr/>
  </w:style>
  <w:style w:type="paragraph" w:styleId="PodBulletItemKeepWithNext">
    <w:name w:val="podBulletItemKeepWithNext"/>
    <w:basedOn w:val="Normal"/>
    <w:qFormat/>
    <w:pPr>
      <w:keepNext w:val="true"/>
      <w:numPr>
        <w:ilvl w:val="0"/>
        <w:numId w:val="2"/>
      </w:numPr>
    </w:pPr>
    <w:rPr/>
  </w:style>
  <w:style w:type="paragraph" w:styleId="PodNumberItemKeepWithNext">
    <w:name w:val="podNumberItemKeepWithNext"/>
    <w:basedOn w:val="Normal"/>
    <w:qFormat/>
    <w:pPr>
      <w:keepNext w:val="true"/>
      <w:numPr>
        <w:ilvl w:val="0"/>
        <w:numId w:val="3"/>
      </w:numPr>
    </w:pPr>
    <w:rPr/>
  </w:style>
  <w:style w:type="paragraph" w:styleId="Tablecell">
    <w:name w:val="Table cell"/>
    <w:basedOn w:val="Normal"/>
    <w:qFormat/>
    <w:pPr>
      <w:suppressLineNumbers/>
      <w:spacing w:before="0" w:after="0"/>
    </w:pPr>
    <w:rPr/>
  </w:style>
  <w:style w:type="paragraph" w:styleId="Tableheading">
    <w:name w:val="Table heading"/>
    <w:basedOn w:val="Tablecell"/>
    <w:qFormat/>
    <w:pPr/>
    <w:rPr>
      <w:b/>
      <w:bCs/>
    </w:rPr>
  </w:style>
  <w:style w:type="paragraph" w:styleId="PodTablePara">
    <w:name w:val="podTablePara"/>
    <w:basedOn w:val="Tablecell"/>
    <w:qFormat/>
    <w:pPr/>
    <w:rPr>
      <w:b w:val="false"/>
      <w:bCs w:val="false"/>
      <w:sz w:val="16"/>
    </w:rPr>
  </w:style>
  <w:style w:type="paragraph" w:styleId="PodTableParaBold">
    <w:name w:val="podTableParaBold"/>
    <w:basedOn w:val="Tablecell"/>
    <w:qFormat/>
    <w:pPr/>
    <w:rPr>
      <w:b/>
      <w:bCs/>
      <w:sz w:val="16"/>
    </w:rPr>
  </w:style>
  <w:style w:type="paragraph" w:styleId="PodTableParaRight">
    <w:name w:val="podTableParaRight"/>
    <w:basedOn w:val="Tablecell"/>
    <w:qFormat/>
    <w:pPr>
      <w:jc w:val="right"/>
    </w:pPr>
    <w:rPr>
      <w:b w:val="false"/>
      <w:bCs w:val="false"/>
      <w:sz w:val="16"/>
    </w:rPr>
  </w:style>
  <w:style w:type="paragraph" w:styleId="PodTableParaBoldRight">
    <w:name w:val="podTableParaBoldRight"/>
    <w:basedOn w:val="Tablecell"/>
    <w:qFormat/>
    <w:pPr>
      <w:jc w:val="right"/>
    </w:pPr>
    <w:rPr>
      <w:b/>
      <w:bCs/>
      <w:sz w:val="16"/>
    </w:rPr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Style9">
    <w:name w:val="обычный приложения"/>
    <w:basedOn w:val="Normal"/>
    <w:qFormat/>
    <w:pPr>
      <w:jc w:val="center"/>
    </w:pPr>
    <w:rPr>
      <w:rFonts w:ascii="Times New Roman" w:hAnsi="Times New Roman" w:eastAsia="Calibri"/>
      <w:b/>
      <w:sz w:val="24"/>
    </w:rPr>
  </w:style>
  <w:style w:type="paragraph" w:styleId="21">
    <w:name w:val="АР Прил 2"/>
    <w:basedOn w:val="Style9"/>
    <w:qFormat/>
    <w:pPr>
      <w:jc w:val="center"/>
    </w:pPr>
    <w:rPr>
      <w:rFonts w:ascii="Times New Roman" w:hAnsi="Times New Roman" w:eastAsia="Calibri"/>
      <w:b/>
      <w:sz w:val="24"/>
    </w:rPr>
  </w:style>
  <w:style w:type="paragraph" w:styleId="22">
    <w:name w:val="Рег. Заголовок 2-го уровня регламента"/>
    <w:basedOn w:val="Normal"/>
    <w:qFormat/>
    <w:pPr>
      <w:numPr>
        <w:ilvl w:val="0"/>
        <w:numId w:val="0"/>
      </w:numPr>
      <w:spacing w:lineRule="auto" w:line="240" w:before="0" w:after="0"/>
      <w:jc w:val="center"/>
      <w:outlineLvl w:val="1"/>
    </w:pPr>
    <w:rPr>
      <w:rFonts w:ascii="Times New Roman" w:hAnsi="Times New Roman" w:eastAsia="Calibri"/>
      <w:b/>
      <w:bCs/>
      <w:sz w:val="24"/>
      <w:szCs w:val="24"/>
    </w:rPr>
  </w:style>
  <w:style w:type="paragraph" w:styleId="Footnote">
    <w:name w:val="Footnote Text"/>
    <w:basedOn w:val="Normal"/>
    <w:pPr>
      <w:suppressLineNumbers/>
      <w:ind w:left="340" w:right="0" w:hanging="340"/>
    </w:pPr>
    <w:rPr>
      <w:sz w:val="20"/>
      <w:szCs w:val="20"/>
    </w:rPr>
  </w:style>
  <w:style w:type="paragraph" w:styleId="TableHeading1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PodBulletedList">
    <w:name w:val="podBulletedList"/>
    <w:qFormat/>
  </w:style>
  <w:style w:type="numbering" w:styleId="PodNumberedList">
    <w:name w:val="podNumbered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6554</TotalTime>
  <Application>LibreOffice/7.4.7.2$Linux_X86_64 LibreOffice_project/40$Build-2</Application>
  <AppVersion>15.0000</AppVersion>
  <Pages>1</Pages>
  <Words>110</Words>
  <Characters>1050</Characters>
  <CharactersWithSpaces>1138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2023-05-12T14:59:09Z</dcterms:created>
  <dc:creator/>
  <dc:description/>
  <dc:language>en-US</dc:language>
  <cp:lastModifiedBy/>
  <dcterms:modified xsi:type="dcterms:W3CDTF">2025-01-21T17:25:00Z</dcterms:modified>
  <cp:revision>101</cp:revision>
  <dc:subject/>
  <dc:title/>
</cp:coreProperties>
</file>