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4B129E">
        <w:rPr>
          <w:rFonts w:ascii="Times New Roman" w:hAnsi="Times New Roman" w:cs="Times New Roman"/>
          <w:sz w:val="24"/>
          <w:szCs w:val="24"/>
        </w:rPr>
        <w:t>ПОЛОЖЕНИЕ</w:t>
      </w:r>
    </w:p>
    <w:p w:rsidR="004B129E" w:rsidRPr="004B129E" w:rsidRDefault="004B129E" w:rsidP="004B1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О ПОРЯДКЕ ЗАКЛЮЧЕНИЯ ДОГОВОРОВ НА УСТАНОВКУ И ЭКСПЛУАТАЦИЮ</w:t>
      </w:r>
    </w:p>
    <w:p w:rsidR="004B129E" w:rsidRPr="004B129E" w:rsidRDefault="004B129E" w:rsidP="004B1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РЕКЛАМНЫХ КОНСТРУКЦИЙ НА НЕДВИЖИМОМ ИМУЩЕСТВЕ, НАХОДЯЩЕМСЯ</w:t>
      </w:r>
    </w:p>
    <w:p w:rsidR="004B129E" w:rsidRPr="004B129E" w:rsidRDefault="004B129E" w:rsidP="004B1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В СОБСТВЕННОСТИ ИЛИ РАСПОРЯЖЕНИИ ГОРОДСКОГО</w:t>
      </w:r>
    </w:p>
    <w:p w:rsidR="004B129E" w:rsidRPr="004B129E" w:rsidRDefault="004B129E" w:rsidP="004B12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ОКРУГА КРАСНОГОРСК</w:t>
      </w:r>
    </w:p>
    <w:p w:rsidR="004B129E" w:rsidRPr="004B129E" w:rsidRDefault="004B129E" w:rsidP="004B129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1. Основные термины и понятия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1.1. Договор на установку и эксплуатацию рекламной конструкции на недвижимом имуществе, находящемся в собственности или распоряжении городского округа Красногорск (далее по тексту - договор), - документ, подписанный в двух экземплярах владельцем рекламной конструкции и администрацией городского округа Красногорск (далее по тексту - администрация). На период действия договора владельцу рекламной конструкции предоставляется право беспрепятственного доступа к недвижимому имуществу, к которому присоединяется рекламная конструкция, и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 Договором также определяются иные права и обязанности сторон, возникающие в процессе установки, эксплуатации и демонтажа рекламной конструкции. Срок действия договора на установку и эксплуатацию рекламной конструкции устанавливается в зависимости от типа и вида рекламной конструкции.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1.2. Рекламные конструкции - технические средства стабильного территориального размещения, монтируемые и располагаемые на земельных участках,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 с соблюдением требований законодательства Российской Федерации о рекламе.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1.3. Типы и виды рекламных конструкций и предельные сроки действия договоров на установку и эксплуатацию рекламных конструкций: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5475"/>
        <w:gridCol w:w="1814"/>
      </w:tblGrid>
      <w:tr w:rsidR="004B129E" w:rsidRPr="004B129E">
        <w:tc>
          <w:tcPr>
            <w:tcW w:w="1725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Виды рекламных конструкций</w:t>
            </w:r>
          </w:p>
        </w:tc>
        <w:tc>
          <w:tcPr>
            <w:tcW w:w="5475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Типы рекламных конструкций</w:t>
            </w:r>
          </w:p>
        </w:tc>
        <w:tc>
          <w:tcPr>
            <w:tcW w:w="1814" w:type="dxa"/>
          </w:tcPr>
          <w:p w:rsidR="004B129E" w:rsidRPr="004B129E" w:rsidRDefault="004B129E" w:rsidP="00C3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Предельный срок действия договоров, лет</w:t>
            </w:r>
          </w:p>
        </w:tc>
      </w:tr>
      <w:tr w:rsidR="00626214" w:rsidRPr="004B129E">
        <w:tc>
          <w:tcPr>
            <w:tcW w:w="1725" w:type="dxa"/>
            <w:vMerge w:val="restart"/>
          </w:tcPr>
          <w:p w:rsidR="00626214" w:rsidRPr="004B129E" w:rsidRDefault="00626214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Отдельно стоящие</w:t>
            </w:r>
          </w:p>
        </w:tc>
        <w:tc>
          <w:tcPr>
            <w:tcW w:w="5475" w:type="dxa"/>
          </w:tcPr>
          <w:p w:rsidR="00626214" w:rsidRDefault="00626214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рекламные конструкции с внешним подсветом или без подсвета.</w:t>
            </w:r>
          </w:p>
          <w:p w:rsidR="00626214" w:rsidRPr="004B129E" w:rsidRDefault="00626214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по индивидуальному проекту без подсвета.</w:t>
            </w:r>
          </w:p>
        </w:tc>
        <w:tc>
          <w:tcPr>
            <w:tcW w:w="1814" w:type="dxa"/>
          </w:tcPr>
          <w:p w:rsidR="00626214" w:rsidRPr="004B129E" w:rsidRDefault="00626214" w:rsidP="00C3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214" w:rsidRPr="004B129E">
        <w:tc>
          <w:tcPr>
            <w:tcW w:w="1725" w:type="dxa"/>
            <w:vMerge/>
          </w:tcPr>
          <w:p w:rsidR="00626214" w:rsidRPr="004B129E" w:rsidRDefault="00626214" w:rsidP="004B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626214" w:rsidRPr="004B129E" w:rsidRDefault="00626214" w:rsidP="00FF6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Типовые рекламные конструкции</w:t>
            </w: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внутренним подсветом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626214" w:rsidRPr="004B129E" w:rsidRDefault="00626214" w:rsidP="00C3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214" w:rsidRPr="004B129E">
        <w:tc>
          <w:tcPr>
            <w:tcW w:w="1725" w:type="dxa"/>
            <w:vMerge/>
          </w:tcPr>
          <w:p w:rsidR="00626214" w:rsidRPr="004B129E" w:rsidRDefault="00626214" w:rsidP="004B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626214" w:rsidRPr="004B129E" w:rsidRDefault="00626214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9">
              <w:rPr>
                <w:rFonts w:ascii="Times New Roman" w:hAnsi="Times New Roman" w:cs="Times New Roman"/>
                <w:sz w:val="24"/>
                <w:szCs w:val="24"/>
              </w:rPr>
              <w:t>Типовые рекламные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струкции с внутренним подсветом и </w:t>
            </w:r>
            <w:r w:rsidRPr="00FF6F9C">
              <w:rPr>
                <w:rFonts w:ascii="Times New Roman" w:hAnsi="Times New Roman" w:cs="Times New Roman"/>
                <w:sz w:val="24"/>
                <w:szCs w:val="24"/>
              </w:rPr>
              <w:t>автоматической сменой экспозиции (скроллер).</w:t>
            </w:r>
          </w:p>
        </w:tc>
        <w:tc>
          <w:tcPr>
            <w:tcW w:w="1814" w:type="dxa"/>
          </w:tcPr>
          <w:p w:rsidR="00626214" w:rsidRPr="004B129E" w:rsidRDefault="00626214" w:rsidP="00C3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6214" w:rsidRPr="004B129E">
        <w:tc>
          <w:tcPr>
            <w:tcW w:w="1725" w:type="dxa"/>
            <w:vMerge/>
          </w:tcPr>
          <w:p w:rsidR="00626214" w:rsidRPr="004B129E" w:rsidRDefault="00626214" w:rsidP="004B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626214" w:rsidRPr="00981111" w:rsidRDefault="00626214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214">
              <w:rPr>
                <w:rFonts w:ascii="Times New Roman" w:hAnsi="Times New Roman" w:cs="Times New Roman"/>
                <w:sz w:val="24"/>
                <w:szCs w:val="24"/>
              </w:rPr>
              <w:t>Типовые рекламные конструкции</w:t>
            </w:r>
            <w:r w:rsidR="009811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81111" w:rsidRPr="00981111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</w:t>
            </w:r>
            <w:r w:rsidR="00981111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проекту с применением </w:t>
            </w:r>
            <w:r w:rsidR="00981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  <w:r w:rsidR="00981111" w:rsidRPr="0098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EE6">
              <w:rPr>
                <w:rFonts w:ascii="Times New Roman" w:hAnsi="Times New Roman" w:cs="Times New Roman"/>
                <w:sz w:val="24"/>
                <w:szCs w:val="24"/>
              </w:rPr>
              <w:t>дисплеев (экран).</w:t>
            </w:r>
          </w:p>
        </w:tc>
        <w:tc>
          <w:tcPr>
            <w:tcW w:w="1814" w:type="dxa"/>
          </w:tcPr>
          <w:p w:rsidR="00626214" w:rsidRPr="004B129E" w:rsidRDefault="00626214" w:rsidP="00C3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129E" w:rsidRPr="004B129E" w:rsidTr="00792D67">
        <w:tblPrEx>
          <w:tblBorders>
            <w:insideH w:val="nil"/>
          </w:tblBorders>
        </w:tblPrEx>
        <w:trPr>
          <w:trHeight w:val="780"/>
        </w:trPr>
        <w:tc>
          <w:tcPr>
            <w:tcW w:w="1725" w:type="dxa"/>
            <w:vMerge w:val="restart"/>
          </w:tcPr>
          <w:p w:rsidR="004B129E" w:rsidRPr="004B129E" w:rsidRDefault="0032771D" w:rsidP="004B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зданиях и сооружениях</w:t>
            </w:r>
          </w:p>
        </w:tc>
        <w:tc>
          <w:tcPr>
            <w:tcW w:w="5475" w:type="dxa"/>
            <w:tcBorders>
              <w:bottom w:val="nil"/>
            </w:tcBorders>
          </w:tcPr>
          <w:p w:rsidR="004B129E" w:rsidRPr="004B129E" w:rsidRDefault="00B5547B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 по индивидуальному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47B">
              <w:rPr>
                <w:rFonts w:ascii="Times New Roman" w:hAnsi="Times New Roman" w:cs="Times New Roman"/>
                <w:sz w:val="24"/>
                <w:szCs w:val="24"/>
              </w:rPr>
              <w:t>с внутренним подсветом.</w:t>
            </w:r>
          </w:p>
        </w:tc>
        <w:tc>
          <w:tcPr>
            <w:tcW w:w="1814" w:type="dxa"/>
            <w:tcBorders>
              <w:bottom w:val="nil"/>
            </w:tcBorders>
          </w:tcPr>
          <w:p w:rsidR="004B129E" w:rsidRPr="004B129E" w:rsidRDefault="00B5547B" w:rsidP="00C3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129E" w:rsidRPr="004B129E">
        <w:tc>
          <w:tcPr>
            <w:tcW w:w="1725" w:type="dxa"/>
            <w:vMerge/>
          </w:tcPr>
          <w:p w:rsidR="004B129E" w:rsidRPr="004B129E" w:rsidRDefault="004B129E" w:rsidP="004B1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</w:tcPr>
          <w:p w:rsidR="004B129E" w:rsidRPr="004B129E" w:rsidRDefault="00073999" w:rsidP="000739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547B" w:rsidRPr="00B5547B">
              <w:rPr>
                <w:rFonts w:ascii="Times New Roman" w:hAnsi="Times New Roman" w:cs="Times New Roman"/>
                <w:sz w:val="24"/>
                <w:szCs w:val="24"/>
              </w:rPr>
              <w:t xml:space="preserve">екламные конструкции по индивидуальному проекту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применением LED дисплеев</w:t>
            </w:r>
            <w:r w:rsidR="00B5547B" w:rsidRPr="00B55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4B129E" w:rsidRPr="004B129E" w:rsidRDefault="004B129E" w:rsidP="00C338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2. Места установки рекламных конструкций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2.1. Проведение торгов на право заключения договоров на установку и эксплуатацию рекламных конструкций, а также заключение таких договоров производится в отношении мест установки, а также типов и видов рекламных конструкций, предусмотренных схемой размещения рекламных конструкций на территории городского округа Красногорск Московской области, утвержденной администрацией.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9E7987" w:rsidRDefault="004B129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E7987">
        <w:rPr>
          <w:rFonts w:ascii="Times New Roman" w:hAnsi="Times New Roman" w:cs="Times New Roman"/>
          <w:sz w:val="24"/>
          <w:szCs w:val="24"/>
        </w:rPr>
        <w:t>3. Торги на право заключения договора</w:t>
      </w:r>
    </w:p>
    <w:p w:rsidR="004B129E" w:rsidRPr="009E7987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9E7987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7987">
        <w:rPr>
          <w:rFonts w:ascii="Times New Roman" w:hAnsi="Times New Roman" w:cs="Times New Roman"/>
          <w:sz w:val="24"/>
          <w:szCs w:val="24"/>
        </w:rPr>
        <w:t xml:space="preserve">3.1. В соответствии с </w:t>
      </w:r>
      <w:hyperlink r:id="rId4" w:history="1">
        <w:r w:rsidRPr="006C2E80">
          <w:rPr>
            <w:rFonts w:ascii="Times New Roman" w:hAnsi="Times New Roman" w:cs="Times New Roman"/>
            <w:b/>
            <w:sz w:val="24"/>
            <w:szCs w:val="24"/>
          </w:rPr>
          <w:t>ч. 5.1 ст. 19</w:t>
        </w:r>
      </w:hyperlink>
      <w:r w:rsidRPr="009E7987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 38-ФЗ "О рекламе"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электронного аукциона или конкурса). Торги на право заключения договора на установку и эксплуатацию рекламных конструкций проводятся только в отношении рекламных конструкций, внесенных в схему размещения рекламных конструкций.</w:t>
      </w:r>
    </w:p>
    <w:p w:rsidR="004B129E" w:rsidRPr="009E7987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9E7987">
        <w:rPr>
          <w:rFonts w:ascii="Times New Roman" w:hAnsi="Times New Roman" w:cs="Times New Roman"/>
          <w:sz w:val="24"/>
          <w:szCs w:val="24"/>
        </w:rPr>
        <w:t>3.2.3. Электронный аукцион - форма торгов на право заключения договора, победителем которых признается участник, предложивший наиболее высокую плату за право заключения договора на установку и эксплуатацию рекламной конструкции, проводимых оператором электронной площадки на электронной площадке, а также документация которого соответствует требованиям, предъявляемым организатором торгов в извещении о проведении такого аукциона.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3.3. Предмет торгов - право заключения договора на установку и эксплуатацию рекламной конструкции на объектах недвижимого имущества, находящихся в собственности или распоряжении городского округа Красногорск, в том числе земельных участках, государственная собственность на которые не разграничена.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3.3.1. Торги проводятся в целях: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- создания равных условий и возможностей для получения рекламных мест на территории городского округа Красногорск;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- пополнения бюджета городского округа Красногорск за счет размещения рекламных конструкций на основе торгов.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3.3.2. Основными принципами организации и проведения торгов являются равные условия для всех претендентов, открытость, гласность и состязательность проведения торгов.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3.4. Организатором торгов является администрация (далее - организатор).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4. Комиссия по проведению торгов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4.1. Непосредственную подготовку и проведение торгов на право заключения договоров осуществляет комиссия по проведению торгов. Состав комиссии по проведению торгов, полномочия, порядок формирования и деятельности утверждаются главой городского округа Красногорск.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lastRenderedPageBreak/>
        <w:t>4.2. К исключительным полномочиям комиссии по проведению торгов, самостоятельно и независимо принимающей решение в рамках своей компетенции, относится: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1) формирование лотов;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2) определение победителя по итогам торгов.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5. Участие в торгах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5.1. К участию в торгах допускаются юридические и физические лица (претенденты), желающие установить и эксплуатировать рекламные конструкции на территории городского округа Красногорск.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5.2. При рассмотрении заявок на участие в торгах претендент не допускается комиссией к участию в случаях: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1) непредставления определенных документацией торгов документов либо наличия в таких документах недостоверных (неполных) сведений об участнике торгов, наличия в указанных документах ошибок и опечаток, которые могут препятствовать оценке претендента и его предложения на торгах, либо если оформление указанных документов не соответствует требованиям законодательства Российской Федерации, а также документации по торгам;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2) невнесения или неполного внесения денежных средств в качестве обеспечения заявки на участие в торгах.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5.3. В случае установления недостоверности сведений, содержащихся в документах, представленных участником торгов в соответствии с конкурсной (аукционной) документацией, комиссия по проведению торгов отстраняет такого участника от участия в торгах на любом этапе их проведения.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5.4. Отказ в допуске к участию в торгах претенденту по иным основаниям не допускается. Кроме указанных в настоящем положении требований организатор не вправе устанавливать иные требования к участникам торгов.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6. Извещение о проведении торгов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6.1. Извещение о проведении торгов публикуется комиссией по проведению торгов в газете "Красногорские вести" для всеобщего сведения и размещается на официальном сайте городского округа Красногорск в сети Интернет не менее чем за тридцать дней до дня рассмотрения комиссией поданных заявок претендентов с целью определения лиц, допущенных до участия в торгах.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6.1.1. Комиссия по проведению торгов вправе принять решение о внесении изменений в извещение о проведении торгов не позднее чем за пять дней до даты окончания подачи заявок на участие в торгах. В течение одного дня со дня принятия указанного решения такие изменения размещаются на официальном сайте городского округа Красногорск и публикуются в ближайшем номере газеты "Красногорские вести". При этом срок подачи заявок на участие в торгах должен быть продлен так, чтобы со дня размещения на официальном сайте изменений, внесенных в извещение о проведении торгов, до даты окончания подачи заявок на участие в торгах такой срок составлял не менее чем тридцать дней.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6.1.2. В случае отказа организатора от проведения торгов в срок, предусмотренный законом или извещением, комиссия по проведению торгов обязана разместить извещение об отказе от проведения торгов в течение трех дней со дня принятия решения об отказе от проведения торгов на официальном сайте администрации и опубликовать в ближайшем выпуске газеты "Красногорские вести".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lastRenderedPageBreak/>
        <w:t>В случае если установлено требование обеспечения заявки на участие в торгах, администрация возвращает участникам торгов денежные средства, внесенные в качестве обеспечения таких заявок, в течение пяти рабочих дней со дня принятия решения об отказе от проведения торгов.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6.2. Извещение должно содержать в себе следующие обязательные сведения: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1) сведения об организаторе торгов: наименование, почтовые адреса и телефоны организатора, комиссии по проведению торгов и лиц, ответственных за прием заявок;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2) дату, время и место проведения торгов;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3) предметы торгов (лоты) с указанием их номеров и описанием предмета договора: места установки рекламной конструкции, типа, формата и иных характеристик рекламной конструкции, установка которой возможна по условиям договора;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4) форму и порядок проведения торгов;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5) сведения об оформлении участия в торгах и определении победителя торгов;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6) начальную цену каждого лота;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7) размер задатка - денежного обеспечения участия в торгах по каждому объекту торгов (лоту), реквизиты для перечисления задатка;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8) порядок и сроки внесения задатка претендентом на участие в торгах;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9) срок, в который организатор имеет право отказаться от проведения торгов;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10) срок, в который договор должен быть заключен сторонами, и срок, в который лицо, признанное победившим в торгах, обязано представить подписанный со своей стороны проект договора;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11) проект договора.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7. Оформление участия в торгах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7.</w:t>
      </w:r>
      <w:r w:rsidR="00E65F58">
        <w:rPr>
          <w:rFonts w:ascii="Times New Roman" w:hAnsi="Times New Roman" w:cs="Times New Roman"/>
          <w:sz w:val="24"/>
          <w:szCs w:val="24"/>
        </w:rPr>
        <w:t>1</w:t>
      </w:r>
      <w:r w:rsidRPr="004B129E">
        <w:rPr>
          <w:rFonts w:ascii="Times New Roman" w:hAnsi="Times New Roman" w:cs="Times New Roman"/>
          <w:sz w:val="24"/>
          <w:szCs w:val="24"/>
        </w:rPr>
        <w:t xml:space="preserve">. </w:t>
      </w:r>
      <w:r w:rsidR="00E65F58">
        <w:rPr>
          <w:rFonts w:ascii="Times New Roman" w:hAnsi="Times New Roman" w:cs="Times New Roman"/>
          <w:sz w:val="24"/>
          <w:szCs w:val="24"/>
        </w:rPr>
        <w:t xml:space="preserve">Оформление участия </w:t>
      </w:r>
      <w:r w:rsidR="0003773C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правилами электронной площадки на которой проводятся торги. </w:t>
      </w:r>
      <w:r w:rsidRPr="004B129E">
        <w:rPr>
          <w:rFonts w:ascii="Times New Roman" w:hAnsi="Times New Roman" w:cs="Times New Roman"/>
          <w:sz w:val="24"/>
          <w:szCs w:val="24"/>
        </w:rPr>
        <w:t>Состав и форма документов, представляемых для участия в торгах, определяются конкурсной (аукционной) документацией.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C61879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129E" w:rsidRPr="004B129E">
        <w:rPr>
          <w:rFonts w:ascii="Times New Roman" w:hAnsi="Times New Roman" w:cs="Times New Roman"/>
          <w:sz w:val="24"/>
          <w:szCs w:val="24"/>
        </w:rPr>
        <w:t>. Порядок проведения аукциона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Default="00C61879" w:rsidP="00520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831A5F"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B55C12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831A5F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Красногорск </w:t>
      </w:r>
      <w:r w:rsidR="00B55C12">
        <w:rPr>
          <w:rFonts w:ascii="Times New Roman" w:hAnsi="Times New Roman" w:cs="Times New Roman"/>
          <w:sz w:val="24"/>
          <w:szCs w:val="24"/>
        </w:rPr>
        <w:t>от 15.11.2023г. №2781/11</w:t>
      </w:r>
      <w:r w:rsidR="00296B4D">
        <w:rPr>
          <w:rFonts w:ascii="Times New Roman" w:hAnsi="Times New Roman" w:cs="Times New Roman"/>
          <w:sz w:val="24"/>
          <w:szCs w:val="24"/>
        </w:rPr>
        <w:t xml:space="preserve"> «Об утве</w:t>
      </w:r>
      <w:r w:rsidR="00B6126D">
        <w:rPr>
          <w:rFonts w:ascii="Times New Roman" w:hAnsi="Times New Roman" w:cs="Times New Roman"/>
          <w:sz w:val="24"/>
          <w:szCs w:val="24"/>
        </w:rPr>
        <w:t xml:space="preserve">рждении положения об </w:t>
      </w:r>
      <w:r w:rsidR="00296B4D">
        <w:rPr>
          <w:rFonts w:ascii="Times New Roman" w:hAnsi="Times New Roman" w:cs="Times New Roman"/>
          <w:sz w:val="24"/>
          <w:szCs w:val="24"/>
        </w:rPr>
        <w:t>организации и проведении открытого аукциона в электронной форме на право заключения</w:t>
      </w:r>
      <w:r w:rsidR="00A75158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>договора на установку и эксплуатацию</w:t>
      </w:r>
      <w:r w:rsidR="002C521D">
        <w:rPr>
          <w:rFonts w:ascii="Times New Roman" w:hAnsi="Times New Roman" w:cs="Times New Roman"/>
          <w:sz w:val="24"/>
          <w:szCs w:val="24"/>
        </w:rPr>
        <w:t xml:space="preserve"> </w:t>
      </w:r>
      <w:r w:rsidR="00B6126D">
        <w:rPr>
          <w:rFonts w:ascii="Times New Roman" w:hAnsi="Times New Roman" w:cs="Times New Roman"/>
          <w:sz w:val="24"/>
          <w:szCs w:val="24"/>
        </w:rPr>
        <w:t>рекламной кон</w:t>
      </w:r>
      <w:r w:rsidR="00DA0BD1">
        <w:rPr>
          <w:rFonts w:ascii="Times New Roman" w:hAnsi="Times New Roman" w:cs="Times New Roman"/>
          <w:sz w:val="24"/>
          <w:szCs w:val="24"/>
        </w:rPr>
        <w:t xml:space="preserve">струкции на земельном участке, </w:t>
      </w:r>
      <w:r w:rsidR="002C521D">
        <w:rPr>
          <w:rFonts w:ascii="Times New Roman" w:hAnsi="Times New Roman" w:cs="Times New Roman"/>
          <w:sz w:val="24"/>
          <w:szCs w:val="24"/>
        </w:rPr>
        <w:t>здании или ином недвижимом имуществе, находящимся в муниципальной собственности</w:t>
      </w:r>
      <w:r w:rsidR="006053E2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Московской области, а также земельном участке, государственная собственность </w:t>
      </w:r>
      <w:r w:rsidR="00CC0A87">
        <w:rPr>
          <w:rFonts w:ascii="Times New Roman" w:hAnsi="Times New Roman" w:cs="Times New Roman"/>
          <w:sz w:val="24"/>
          <w:szCs w:val="24"/>
        </w:rPr>
        <w:t>на которы</w:t>
      </w:r>
      <w:r w:rsidR="00520BB5">
        <w:rPr>
          <w:rFonts w:ascii="Times New Roman" w:hAnsi="Times New Roman" w:cs="Times New Roman"/>
          <w:sz w:val="24"/>
          <w:szCs w:val="24"/>
        </w:rPr>
        <w:t>й</w:t>
      </w:r>
      <w:r w:rsidR="00CC0A87">
        <w:rPr>
          <w:rFonts w:ascii="Times New Roman" w:hAnsi="Times New Roman" w:cs="Times New Roman"/>
          <w:sz w:val="24"/>
          <w:szCs w:val="24"/>
        </w:rPr>
        <w:t xml:space="preserve"> не разграничена, находящихся на территории городского округа </w:t>
      </w:r>
      <w:r w:rsidR="00CC0A87" w:rsidRPr="00CC0A87">
        <w:rPr>
          <w:rFonts w:ascii="Times New Roman" w:hAnsi="Times New Roman" w:cs="Times New Roman"/>
          <w:sz w:val="24"/>
          <w:szCs w:val="24"/>
        </w:rPr>
        <w:t>Красногорск Московской области</w:t>
      </w:r>
      <w:r w:rsidR="00520BB5">
        <w:rPr>
          <w:rFonts w:ascii="Times New Roman" w:hAnsi="Times New Roman" w:cs="Times New Roman"/>
          <w:sz w:val="24"/>
          <w:szCs w:val="24"/>
        </w:rPr>
        <w:t>.</w:t>
      </w:r>
    </w:p>
    <w:p w:rsidR="00520BB5" w:rsidRPr="004B129E" w:rsidRDefault="00520BB5" w:rsidP="00520B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204B4E" w:rsidP="004B129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29E" w:rsidRPr="004B129E">
        <w:rPr>
          <w:rFonts w:ascii="Times New Roman" w:hAnsi="Times New Roman" w:cs="Times New Roman"/>
          <w:sz w:val="24"/>
          <w:szCs w:val="24"/>
        </w:rPr>
        <w:t>. Порядок расчета годового размера платы за установку</w:t>
      </w:r>
    </w:p>
    <w:p w:rsidR="004B129E" w:rsidRPr="004B129E" w:rsidRDefault="004B129E" w:rsidP="004B12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и эксплуатацию рекламной конструкции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204B4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29E" w:rsidRPr="004B129E">
        <w:rPr>
          <w:rFonts w:ascii="Times New Roman" w:hAnsi="Times New Roman" w:cs="Times New Roman"/>
          <w:sz w:val="24"/>
          <w:szCs w:val="24"/>
        </w:rPr>
        <w:t xml:space="preserve">.1. Определенная по результатам торгов плата за право заключения договора вносится участником торгов однократно после заключения договора. Плата за право заключения договора, </w:t>
      </w:r>
      <w:r w:rsidR="004B129E" w:rsidRPr="004B129E">
        <w:rPr>
          <w:rFonts w:ascii="Times New Roman" w:hAnsi="Times New Roman" w:cs="Times New Roman"/>
          <w:sz w:val="24"/>
          <w:szCs w:val="24"/>
        </w:rPr>
        <w:lastRenderedPageBreak/>
        <w:t>определенная по результатам торгов, вносится независимо от предусмотренной договором годовой платы за установку и эксплуатацию рекламной конструкции. Внесение платы за право заключения договора не освобождает от ежегодного внесения годовой платы за установку и эксплуатацию рекламной конструкции.</w:t>
      </w:r>
    </w:p>
    <w:p w:rsidR="004B129E" w:rsidRPr="004B129E" w:rsidRDefault="0091730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29E" w:rsidRPr="004B129E">
        <w:rPr>
          <w:rFonts w:ascii="Times New Roman" w:hAnsi="Times New Roman" w:cs="Times New Roman"/>
          <w:sz w:val="24"/>
          <w:szCs w:val="24"/>
        </w:rPr>
        <w:t>.2. Для расчета цены договора вводится базовая ставка (далее - Б.С.). Размер Б.С. является инструментом регулирования рынка и определяется на очередной календарный год решением Совета депутатов городского округа Красногорск.</w:t>
      </w:r>
    </w:p>
    <w:p w:rsidR="004B129E" w:rsidRPr="004B129E" w:rsidRDefault="004B129E" w:rsidP="004B129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91730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29E" w:rsidRPr="004B1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B129E" w:rsidRPr="004B129E">
        <w:rPr>
          <w:rFonts w:ascii="Times New Roman" w:hAnsi="Times New Roman" w:cs="Times New Roman"/>
          <w:sz w:val="24"/>
          <w:szCs w:val="24"/>
        </w:rPr>
        <w:t>. Исчисление годового размера платы за установку и эксплуатацию рекламной конструкции осуществляется по следующей формуле: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8D72AB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= Бс x S x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</w:t>
      </w:r>
      <w:r w:rsidR="004B129E" w:rsidRPr="004B129E">
        <w:rPr>
          <w:rFonts w:ascii="Times New Roman" w:hAnsi="Times New Roman" w:cs="Times New Roman"/>
          <w:sz w:val="24"/>
          <w:szCs w:val="24"/>
        </w:rPr>
        <w:t xml:space="preserve"> Кс x </w:t>
      </w:r>
      <w:proofErr w:type="spellStart"/>
      <w:r w:rsidR="004B129E" w:rsidRPr="004B129E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4B129E" w:rsidRPr="004B129E">
        <w:rPr>
          <w:rFonts w:ascii="Times New Roman" w:hAnsi="Times New Roman" w:cs="Times New Roman"/>
          <w:sz w:val="24"/>
          <w:szCs w:val="24"/>
        </w:rPr>
        <w:t>, где: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П - годовой размер платы за установку и эксплуатацию рекламной конструкции, рублей;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29E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Pr="004B129E">
        <w:rPr>
          <w:rFonts w:ascii="Times New Roman" w:hAnsi="Times New Roman" w:cs="Times New Roman"/>
          <w:sz w:val="24"/>
          <w:szCs w:val="24"/>
        </w:rPr>
        <w:t xml:space="preserve"> - базовая ставка платы за установку и эксплуатацию рекламной конструкции, которая устанавливается нормативным правовым актом городского округа Красногорск Московской области;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S - площадь информационного поля рекламной конструкции, кв. м;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29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B129E">
        <w:rPr>
          <w:rFonts w:ascii="Times New Roman" w:hAnsi="Times New Roman" w:cs="Times New Roman"/>
          <w:sz w:val="24"/>
          <w:szCs w:val="24"/>
        </w:rPr>
        <w:t xml:space="preserve"> - коэффициент, отражающий зависимость размера оплаты от площади информационного поля одной стороны рекламной конструкции по типу рекламной конструкции: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2097"/>
        <w:gridCol w:w="2097"/>
        <w:gridCol w:w="2267"/>
      </w:tblGrid>
      <w:tr w:rsidR="004B129E" w:rsidRPr="004B129E">
        <w:tc>
          <w:tcPr>
            <w:tcW w:w="566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40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От 0 до 18 кв. м</w:t>
            </w:r>
          </w:p>
        </w:tc>
        <w:tc>
          <w:tcPr>
            <w:tcW w:w="2097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От 18 до 54 кв. м</w:t>
            </w:r>
          </w:p>
        </w:tc>
        <w:tc>
          <w:tcPr>
            <w:tcW w:w="2097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От 54 до 90 кв. м</w:t>
            </w:r>
          </w:p>
        </w:tc>
        <w:tc>
          <w:tcPr>
            <w:tcW w:w="2267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От 90 и более кв. м</w:t>
            </w:r>
          </w:p>
        </w:tc>
      </w:tr>
      <w:tr w:rsidR="004B129E" w:rsidRPr="004B129E">
        <w:tc>
          <w:tcPr>
            <w:tcW w:w="566" w:type="dxa"/>
          </w:tcPr>
          <w:p w:rsidR="004B129E" w:rsidRPr="004B129E" w:rsidRDefault="004B129E" w:rsidP="004B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2040" w:type="dxa"/>
          </w:tcPr>
          <w:p w:rsidR="004B129E" w:rsidRPr="004B129E" w:rsidRDefault="004B129E" w:rsidP="004B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4B129E" w:rsidRPr="004B129E" w:rsidRDefault="004B129E" w:rsidP="004B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097" w:type="dxa"/>
          </w:tcPr>
          <w:p w:rsidR="004B129E" w:rsidRPr="004B129E" w:rsidRDefault="004B129E" w:rsidP="004B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7" w:type="dxa"/>
          </w:tcPr>
          <w:p w:rsidR="004B129E" w:rsidRPr="004B129E" w:rsidRDefault="004B129E" w:rsidP="004B12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Кс - коэффициент, стимулирующий внедрение новых технологий, в том числе учитывающий освещение рекламной конструкции: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3"/>
        <w:gridCol w:w="850"/>
      </w:tblGrid>
      <w:tr w:rsidR="004B129E" w:rsidRPr="004B129E" w:rsidTr="00E24F73">
        <w:trPr>
          <w:trHeight w:val="455"/>
        </w:trPr>
        <w:tc>
          <w:tcPr>
            <w:tcW w:w="8163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850" w:type="dxa"/>
          </w:tcPr>
          <w:p w:rsidR="004B129E" w:rsidRPr="004B129E" w:rsidRDefault="004B129E" w:rsidP="004B1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4B129E" w:rsidRPr="004B129E">
        <w:tc>
          <w:tcPr>
            <w:tcW w:w="8163" w:type="dxa"/>
          </w:tcPr>
          <w:p w:rsidR="004B129E" w:rsidRPr="00E24F73" w:rsidRDefault="004B129E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4F73">
              <w:rPr>
                <w:rFonts w:ascii="Times New Roman" w:hAnsi="Times New Roman" w:cs="Times New Roman"/>
                <w:sz w:val="24"/>
                <w:szCs w:val="24"/>
              </w:rPr>
              <w:t>Отсутствие подсвета</w:t>
            </w:r>
          </w:p>
        </w:tc>
        <w:tc>
          <w:tcPr>
            <w:tcW w:w="850" w:type="dxa"/>
          </w:tcPr>
          <w:p w:rsidR="004B129E" w:rsidRPr="00D423F2" w:rsidRDefault="00E24F73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3F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B129E" w:rsidRPr="004B129E">
        <w:tc>
          <w:tcPr>
            <w:tcW w:w="8163" w:type="dxa"/>
          </w:tcPr>
          <w:p w:rsidR="004B129E" w:rsidRPr="00D423F2" w:rsidRDefault="004B129E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3F2">
              <w:rPr>
                <w:rFonts w:ascii="Times New Roman" w:hAnsi="Times New Roman" w:cs="Times New Roman"/>
                <w:sz w:val="24"/>
                <w:szCs w:val="24"/>
              </w:rPr>
              <w:t>Внешний подсвет</w:t>
            </w:r>
          </w:p>
        </w:tc>
        <w:tc>
          <w:tcPr>
            <w:tcW w:w="850" w:type="dxa"/>
          </w:tcPr>
          <w:p w:rsidR="004B129E" w:rsidRPr="00D423F2" w:rsidRDefault="004B129E" w:rsidP="00D42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3F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42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129E" w:rsidRPr="004B129E">
        <w:tc>
          <w:tcPr>
            <w:tcW w:w="8163" w:type="dxa"/>
          </w:tcPr>
          <w:p w:rsidR="004B129E" w:rsidRPr="004B129E" w:rsidRDefault="004B129E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Внутренний подсвет</w:t>
            </w:r>
          </w:p>
        </w:tc>
        <w:tc>
          <w:tcPr>
            <w:tcW w:w="850" w:type="dxa"/>
          </w:tcPr>
          <w:p w:rsidR="004B129E" w:rsidRPr="004B129E" w:rsidRDefault="00D423F2" w:rsidP="00D42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129E" w:rsidRPr="004B12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129E" w:rsidRPr="004B129E">
        <w:tc>
          <w:tcPr>
            <w:tcW w:w="8163" w:type="dxa"/>
          </w:tcPr>
          <w:p w:rsidR="004B129E" w:rsidRPr="004B129E" w:rsidRDefault="004B129E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129E">
              <w:rPr>
                <w:rFonts w:ascii="Times New Roman" w:hAnsi="Times New Roman" w:cs="Times New Roman"/>
                <w:sz w:val="24"/>
                <w:szCs w:val="24"/>
              </w:rPr>
              <w:t>Автоматическая смена экспозиции, электронное табло (видеоэкран)</w:t>
            </w:r>
            <w:r w:rsidR="004D5E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EBD" w:rsidRPr="004D5EBD">
              <w:rPr>
                <w:rFonts w:ascii="Times New Roman" w:hAnsi="Times New Roman" w:cs="Times New Roman"/>
                <w:sz w:val="24"/>
                <w:szCs w:val="24"/>
              </w:rPr>
              <w:t>медиафасад</w:t>
            </w:r>
          </w:p>
        </w:tc>
        <w:tc>
          <w:tcPr>
            <w:tcW w:w="850" w:type="dxa"/>
          </w:tcPr>
          <w:p w:rsidR="004B129E" w:rsidRPr="00D423F2" w:rsidRDefault="00D423F2" w:rsidP="004B1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3F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91730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4B129E" w:rsidRPr="004B129E">
        <w:rPr>
          <w:rFonts w:ascii="Times New Roman" w:hAnsi="Times New Roman" w:cs="Times New Roman"/>
          <w:sz w:val="24"/>
          <w:szCs w:val="24"/>
        </w:rPr>
        <w:t>. Для расчета размера оплаты вводится Кт - коэффициент, учитывающий территориальную привязку: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 xml:space="preserve">- для рекламных конструкций, расположенных в 1-й территориальной зоне, Кт1 = </w:t>
      </w:r>
      <w:r w:rsidR="0093210B">
        <w:rPr>
          <w:rFonts w:ascii="Times New Roman" w:hAnsi="Times New Roman" w:cs="Times New Roman"/>
          <w:sz w:val="24"/>
          <w:szCs w:val="24"/>
        </w:rPr>
        <w:t>7</w:t>
      </w:r>
      <w:r w:rsidRPr="004B129E">
        <w:rPr>
          <w:rFonts w:ascii="Times New Roman" w:hAnsi="Times New Roman" w:cs="Times New Roman"/>
          <w:sz w:val="24"/>
          <w:szCs w:val="24"/>
        </w:rPr>
        <w:t>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 xml:space="preserve">- для рекламных конструкций, расположенных во 2-й территориальной зоне, Кт2 = </w:t>
      </w:r>
      <w:r w:rsidR="0093210B">
        <w:rPr>
          <w:rFonts w:ascii="Times New Roman" w:hAnsi="Times New Roman" w:cs="Times New Roman"/>
          <w:sz w:val="24"/>
          <w:szCs w:val="24"/>
        </w:rPr>
        <w:t>6</w:t>
      </w:r>
      <w:r w:rsidRPr="004B129E">
        <w:rPr>
          <w:rFonts w:ascii="Times New Roman" w:hAnsi="Times New Roman" w:cs="Times New Roman"/>
          <w:sz w:val="24"/>
          <w:szCs w:val="24"/>
        </w:rPr>
        <w:t>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 xml:space="preserve">- для рекламных конструкций, расположенных в 3-й территориальной зоне, Кт3 = </w:t>
      </w:r>
      <w:r w:rsidR="0093210B">
        <w:rPr>
          <w:rFonts w:ascii="Times New Roman" w:hAnsi="Times New Roman" w:cs="Times New Roman"/>
          <w:sz w:val="24"/>
          <w:szCs w:val="24"/>
        </w:rPr>
        <w:t>4</w:t>
      </w:r>
      <w:r w:rsidRPr="004B129E">
        <w:rPr>
          <w:rFonts w:ascii="Times New Roman" w:hAnsi="Times New Roman" w:cs="Times New Roman"/>
          <w:sz w:val="24"/>
          <w:szCs w:val="24"/>
        </w:rPr>
        <w:t>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 xml:space="preserve">- для рекламных конструкции, расположенных в 4-й территориальной зоне, Кт4 = </w:t>
      </w:r>
      <w:r w:rsidR="0093210B">
        <w:rPr>
          <w:rFonts w:ascii="Times New Roman" w:hAnsi="Times New Roman" w:cs="Times New Roman"/>
          <w:sz w:val="24"/>
          <w:szCs w:val="24"/>
        </w:rPr>
        <w:t>3</w:t>
      </w:r>
      <w:r w:rsidRPr="004B129E">
        <w:rPr>
          <w:rFonts w:ascii="Times New Roman" w:hAnsi="Times New Roman" w:cs="Times New Roman"/>
          <w:sz w:val="24"/>
          <w:szCs w:val="24"/>
        </w:rPr>
        <w:t>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lastRenderedPageBreak/>
        <w:t>- для рекламных конструкции, расположенных в 5-й территориальной зоне, Кт5 = 1.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 xml:space="preserve">В 1-ю территориальную зону входят территории, прилегающие к автомобильной дороге М9 "Балтия" от границ </w:t>
      </w:r>
      <w:r w:rsidR="00831A5F">
        <w:rPr>
          <w:rFonts w:ascii="Times New Roman" w:hAnsi="Times New Roman" w:cs="Times New Roman"/>
          <w:sz w:val="24"/>
          <w:szCs w:val="24"/>
        </w:rPr>
        <w:t>Одинцовского городского округа до 27км+000</w:t>
      </w:r>
      <w:r w:rsidRPr="004B129E">
        <w:rPr>
          <w:rFonts w:ascii="Times New Roman" w:hAnsi="Times New Roman" w:cs="Times New Roman"/>
          <w:sz w:val="24"/>
          <w:szCs w:val="24"/>
        </w:rPr>
        <w:t>м, и территории городского округа Красногорск, прилегающие к МКАД.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Во 2-ю территориальную зону входят территории, прилегающие</w:t>
      </w:r>
      <w:r w:rsidR="00831A5F">
        <w:rPr>
          <w:rFonts w:ascii="Times New Roman" w:hAnsi="Times New Roman" w:cs="Times New Roman"/>
          <w:sz w:val="24"/>
          <w:szCs w:val="24"/>
        </w:rPr>
        <w:t xml:space="preserve"> к автодороге М9 "Балтия" от 27км+000</w:t>
      </w:r>
      <w:r w:rsidRPr="004B129E">
        <w:rPr>
          <w:rFonts w:ascii="Times New Roman" w:hAnsi="Times New Roman" w:cs="Times New Roman"/>
          <w:sz w:val="24"/>
          <w:szCs w:val="24"/>
        </w:rPr>
        <w:t>м до границ</w:t>
      </w:r>
      <w:r w:rsidR="00831A5F">
        <w:rPr>
          <w:rFonts w:ascii="Times New Roman" w:hAnsi="Times New Roman" w:cs="Times New Roman"/>
          <w:sz w:val="24"/>
          <w:szCs w:val="24"/>
        </w:rPr>
        <w:t>ы с городским округом Истра</w:t>
      </w:r>
      <w:r w:rsidRPr="004B129E">
        <w:rPr>
          <w:rFonts w:ascii="Times New Roman" w:hAnsi="Times New Roman" w:cs="Times New Roman"/>
          <w:sz w:val="24"/>
          <w:szCs w:val="24"/>
        </w:rPr>
        <w:t>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В 3-ю территориальную зону входят территории, прилегающие к автодоро</w:t>
      </w:r>
      <w:r w:rsidR="00831A5F">
        <w:rPr>
          <w:rFonts w:ascii="Times New Roman" w:hAnsi="Times New Roman" w:cs="Times New Roman"/>
          <w:sz w:val="24"/>
          <w:szCs w:val="24"/>
        </w:rPr>
        <w:t>ге "Москва - Волоколамск" от 19км+200м до 27км+000</w:t>
      </w:r>
      <w:r w:rsidRPr="004B129E">
        <w:rPr>
          <w:rFonts w:ascii="Times New Roman" w:hAnsi="Times New Roman" w:cs="Times New Roman"/>
          <w:sz w:val="24"/>
          <w:szCs w:val="24"/>
        </w:rPr>
        <w:t>м (в том числе улицам города Красногорска: Знаменской, Волоколамское шоссе, Ленина, Губайлово, Черневской), автодороге А10</w:t>
      </w:r>
      <w:r w:rsidR="00831A5F">
        <w:rPr>
          <w:rFonts w:ascii="Times New Roman" w:hAnsi="Times New Roman" w:cs="Times New Roman"/>
          <w:sz w:val="24"/>
          <w:szCs w:val="24"/>
        </w:rPr>
        <w:t>5 Ильинское шоссе от 00 км до 6км+</w:t>
      </w:r>
      <w:bookmarkStart w:id="1" w:name="_GoBack"/>
      <w:bookmarkEnd w:id="1"/>
      <w:r w:rsidRPr="004B129E">
        <w:rPr>
          <w:rFonts w:ascii="Times New Roman" w:hAnsi="Times New Roman" w:cs="Times New Roman"/>
          <w:sz w:val="24"/>
          <w:szCs w:val="24"/>
        </w:rPr>
        <w:t>000 м, подъезду к Ильинскому шоссе, улицы, входящие в микрорайон Павшинская пойма, и дублер Волоколамского шоссе вдоль мкр. Павшинская пойма.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 xml:space="preserve">В 4-ю территориальную зону входят территории, прилегающие к автодороге </w:t>
      </w:r>
      <w:r w:rsidR="00831A5F">
        <w:rPr>
          <w:rFonts w:ascii="Times New Roman" w:hAnsi="Times New Roman" w:cs="Times New Roman"/>
          <w:sz w:val="24"/>
          <w:szCs w:val="24"/>
        </w:rPr>
        <w:t>"Москва - Волоколамск" от 27км+000</w:t>
      </w:r>
      <w:r w:rsidRPr="004B129E">
        <w:rPr>
          <w:rFonts w:ascii="Times New Roman" w:hAnsi="Times New Roman" w:cs="Times New Roman"/>
          <w:sz w:val="24"/>
          <w:szCs w:val="24"/>
        </w:rPr>
        <w:t xml:space="preserve">м до границы с </w:t>
      </w:r>
      <w:r w:rsidR="00831A5F">
        <w:rPr>
          <w:rFonts w:ascii="Times New Roman" w:hAnsi="Times New Roman" w:cs="Times New Roman"/>
          <w:sz w:val="24"/>
          <w:szCs w:val="24"/>
        </w:rPr>
        <w:t>городским округом Истра</w:t>
      </w:r>
      <w:r w:rsidRPr="004B129E">
        <w:rPr>
          <w:rFonts w:ascii="Times New Roman" w:hAnsi="Times New Roman" w:cs="Times New Roman"/>
          <w:sz w:val="24"/>
          <w:szCs w:val="24"/>
        </w:rPr>
        <w:t>, автодоро</w:t>
      </w:r>
      <w:r w:rsidR="00831A5F">
        <w:rPr>
          <w:rFonts w:ascii="Times New Roman" w:hAnsi="Times New Roman" w:cs="Times New Roman"/>
          <w:sz w:val="24"/>
          <w:szCs w:val="24"/>
        </w:rPr>
        <w:t xml:space="preserve">ге А105 Ильинское шоссе от 6км+000м до автомобильной </w:t>
      </w:r>
      <w:r w:rsidRPr="004B129E">
        <w:rPr>
          <w:rFonts w:ascii="Times New Roman" w:hAnsi="Times New Roman" w:cs="Times New Roman"/>
          <w:sz w:val="24"/>
          <w:szCs w:val="24"/>
        </w:rPr>
        <w:t>д</w:t>
      </w:r>
      <w:r w:rsidR="00831A5F">
        <w:rPr>
          <w:rFonts w:ascii="Times New Roman" w:hAnsi="Times New Roman" w:cs="Times New Roman"/>
          <w:sz w:val="24"/>
          <w:szCs w:val="24"/>
        </w:rPr>
        <w:t>ороги</w:t>
      </w:r>
      <w:r w:rsidRPr="004B129E">
        <w:rPr>
          <w:rFonts w:ascii="Times New Roman" w:hAnsi="Times New Roman" w:cs="Times New Roman"/>
          <w:sz w:val="24"/>
          <w:szCs w:val="24"/>
        </w:rPr>
        <w:t xml:space="preserve"> Ильинское</w:t>
      </w:r>
      <w:r w:rsidR="00831A5F">
        <w:rPr>
          <w:rFonts w:ascii="Times New Roman" w:hAnsi="Times New Roman" w:cs="Times New Roman"/>
          <w:sz w:val="24"/>
          <w:szCs w:val="24"/>
        </w:rPr>
        <w:t xml:space="preserve"> шоссе</w:t>
      </w:r>
      <w:r w:rsidRPr="004B129E">
        <w:rPr>
          <w:rFonts w:ascii="Times New Roman" w:hAnsi="Times New Roman" w:cs="Times New Roman"/>
          <w:sz w:val="24"/>
          <w:szCs w:val="24"/>
        </w:rPr>
        <w:t xml:space="preserve"> - </w:t>
      </w:r>
      <w:r w:rsidR="00831A5F">
        <w:rPr>
          <w:rFonts w:ascii="Times New Roman" w:hAnsi="Times New Roman" w:cs="Times New Roman"/>
          <w:sz w:val="24"/>
          <w:szCs w:val="24"/>
        </w:rPr>
        <w:t>Дмитровское</w:t>
      </w:r>
      <w:r w:rsidRPr="004B129E">
        <w:rPr>
          <w:rFonts w:ascii="Times New Roman" w:hAnsi="Times New Roman" w:cs="Times New Roman"/>
          <w:sz w:val="24"/>
          <w:szCs w:val="24"/>
        </w:rPr>
        <w:t xml:space="preserve"> - </w:t>
      </w:r>
      <w:r w:rsidR="00831A5F">
        <w:rPr>
          <w:rFonts w:ascii="Times New Roman" w:hAnsi="Times New Roman" w:cs="Times New Roman"/>
          <w:sz w:val="24"/>
          <w:szCs w:val="24"/>
        </w:rPr>
        <w:t>Маслово</w:t>
      </w:r>
      <w:r w:rsidRPr="004B129E">
        <w:rPr>
          <w:rFonts w:ascii="Times New Roman" w:hAnsi="Times New Roman" w:cs="Times New Roman"/>
          <w:sz w:val="24"/>
          <w:szCs w:val="24"/>
        </w:rPr>
        <w:t xml:space="preserve">, </w:t>
      </w:r>
      <w:r w:rsidR="00831A5F">
        <w:rPr>
          <w:rFonts w:ascii="Times New Roman" w:hAnsi="Times New Roman" w:cs="Times New Roman"/>
          <w:sz w:val="24"/>
          <w:szCs w:val="24"/>
        </w:rPr>
        <w:t>Пятницкое шоссе</w:t>
      </w:r>
      <w:r w:rsidRPr="004B129E">
        <w:rPr>
          <w:rFonts w:ascii="Times New Roman" w:hAnsi="Times New Roman" w:cs="Times New Roman"/>
          <w:sz w:val="24"/>
          <w:szCs w:val="24"/>
        </w:rPr>
        <w:t>, Путилковское шоссе, к улицам п. Нахабино: Лесопарковой, Советской, Почтовой, 1-й Волоколамской.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В 5-ю территориальную зону входит территория городского округа Красногорск, не вошедшая в 1-ю, 2-ю, 3-ю и 4-ю территориальные зоны.</w:t>
      </w:r>
    </w:p>
    <w:p w:rsidR="004B129E" w:rsidRPr="004B129E" w:rsidRDefault="00352D3F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29E" w:rsidRPr="004B1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B129E" w:rsidRPr="004B129E">
        <w:rPr>
          <w:rFonts w:ascii="Times New Roman" w:hAnsi="Times New Roman" w:cs="Times New Roman"/>
          <w:sz w:val="24"/>
          <w:szCs w:val="24"/>
        </w:rPr>
        <w:t>. Исчисление платы за установку и эксплуатацию временной рекламной конструкции (на срок менее двенадцати месяцев) осуществляется по следующей формуле: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П = (</w:t>
      </w:r>
      <w:proofErr w:type="spellStart"/>
      <w:r w:rsidRPr="004B129E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Pr="004B129E">
        <w:rPr>
          <w:rFonts w:ascii="Times New Roman" w:hAnsi="Times New Roman" w:cs="Times New Roman"/>
          <w:sz w:val="24"/>
          <w:szCs w:val="24"/>
        </w:rPr>
        <w:t xml:space="preserve"> x S x </w:t>
      </w:r>
      <w:proofErr w:type="spellStart"/>
      <w:r w:rsidRPr="004B129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4B129E">
        <w:rPr>
          <w:rFonts w:ascii="Times New Roman" w:hAnsi="Times New Roman" w:cs="Times New Roman"/>
          <w:sz w:val="24"/>
          <w:szCs w:val="24"/>
        </w:rPr>
        <w:t xml:space="preserve"> x Кс x </w:t>
      </w:r>
      <w:proofErr w:type="spellStart"/>
      <w:r w:rsidRPr="004B129E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4B129E">
        <w:rPr>
          <w:rFonts w:ascii="Times New Roman" w:hAnsi="Times New Roman" w:cs="Times New Roman"/>
          <w:sz w:val="24"/>
          <w:szCs w:val="24"/>
        </w:rPr>
        <w:t>) / 12 x М, где: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М - количество месяцев, в течение которых действует договор на установку и эксплуатацию рекламной конструкции.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352D3F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29E" w:rsidRPr="004B1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4B129E" w:rsidRPr="004B129E">
        <w:rPr>
          <w:rFonts w:ascii="Times New Roman" w:hAnsi="Times New Roman" w:cs="Times New Roman"/>
          <w:sz w:val="24"/>
          <w:szCs w:val="24"/>
        </w:rPr>
        <w:t>. За размещение социальной рекламы (информация, направленная на достижение благотворительных и иных общественно полезных целей, а также обеспечение интересов государства, населения и местного самоуправления), а также за размещение на рекламной конструкции праздничного оформления и рекламы, представляющей особую общественную значимость для городского округа Красногорск, плата за установку и эксплуатацию рекламной конструкции не взимается. При расчете размера платы за установку и эксплуатацию рекламной конструкции срок размещения социальной рекламы исключается из оплачиваемого периода. Для расчета суммы, на которую уменьшается плата за установку и эксплуатацию рекламной конструкции, используется следующая формула: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29E">
        <w:rPr>
          <w:rFonts w:ascii="Times New Roman" w:hAnsi="Times New Roman" w:cs="Times New Roman"/>
          <w:sz w:val="24"/>
          <w:szCs w:val="24"/>
        </w:rPr>
        <w:t>Всоц</w:t>
      </w:r>
      <w:proofErr w:type="spellEnd"/>
      <w:r w:rsidRPr="004B129E">
        <w:rPr>
          <w:rFonts w:ascii="Times New Roman" w:hAnsi="Times New Roman" w:cs="Times New Roman"/>
          <w:sz w:val="24"/>
          <w:szCs w:val="24"/>
        </w:rPr>
        <w:t xml:space="preserve"> = П / 365 x Д, где: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129E">
        <w:rPr>
          <w:rFonts w:ascii="Times New Roman" w:hAnsi="Times New Roman" w:cs="Times New Roman"/>
          <w:sz w:val="24"/>
          <w:szCs w:val="24"/>
        </w:rPr>
        <w:t>Всоц</w:t>
      </w:r>
      <w:proofErr w:type="spellEnd"/>
      <w:r w:rsidRPr="004B129E">
        <w:rPr>
          <w:rFonts w:ascii="Times New Roman" w:hAnsi="Times New Roman" w:cs="Times New Roman"/>
          <w:sz w:val="24"/>
          <w:szCs w:val="24"/>
        </w:rPr>
        <w:t xml:space="preserve"> - сумма, исключаемая из платы за установку и эксплуатацию рекламной конструкции, руб.;</w:t>
      </w:r>
    </w:p>
    <w:p w:rsidR="004B129E" w:rsidRPr="004B129E" w:rsidRDefault="004B129E" w:rsidP="004B129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4B129E">
        <w:rPr>
          <w:rFonts w:ascii="Times New Roman" w:hAnsi="Times New Roman" w:cs="Times New Roman"/>
          <w:sz w:val="24"/>
          <w:szCs w:val="24"/>
        </w:rPr>
        <w:t>Д - количество дней в году, когда рекламная конструкция использовалась для размещения праздничного оформления, социальной рекламы и рекламы, представляющей особую общественную значимость для городского округа Красногорск.</w:t>
      </w:r>
    </w:p>
    <w:p w:rsidR="004B129E" w:rsidRP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29E" w:rsidRPr="004B129E" w:rsidRDefault="00352D3F" w:rsidP="004B12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B129E" w:rsidRPr="004B12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129E" w:rsidRPr="004B129E">
        <w:rPr>
          <w:rFonts w:ascii="Times New Roman" w:hAnsi="Times New Roman" w:cs="Times New Roman"/>
          <w:sz w:val="24"/>
          <w:szCs w:val="24"/>
        </w:rPr>
        <w:t>. В случае принятия Советом депутатов городского округа Красногорск нормативных правовых актов об изменении базовой ставки размера платы или коэффициентов, изменяющих размер платы по договору на установку и эксплуатацию рекламной конструкции, цена договора подлежит пересмотру в одностороннем порядке.</w:t>
      </w:r>
    </w:p>
    <w:p w:rsidR="004B129E" w:rsidRDefault="004B129E" w:rsidP="004B12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D6DFF" w:rsidRPr="007D6DFF" w:rsidRDefault="007D6DFF" w:rsidP="004B129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B129E" w:rsidRPr="004B129E" w:rsidRDefault="0093210B" w:rsidP="003A559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B129E" w:rsidRPr="004B129E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</w:t>
      </w:r>
      <w:r w:rsidR="003A5590">
        <w:rPr>
          <w:rFonts w:ascii="Times New Roman" w:hAnsi="Times New Roman" w:cs="Times New Roman"/>
          <w:sz w:val="24"/>
          <w:szCs w:val="24"/>
        </w:rPr>
        <w:tab/>
      </w:r>
      <w:r w:rsidR="003A5590">
        <w:rPr>
          <w:rFonts w:ascii="Times New Roman" w:hAnsi="Times New Roman" w:cs="Times New Roman"/>
          <w:sz w:val="24"/>
          <w:szCs w:val="24"/>
        </w:rPr>
        <w:tab/>
      </w:r>
      <w:r w:rsidR="003A5590">
        <w:rPr>
          <w:rFonts w:ascii="Times New Roman" w:hAnsi="Times New Roman" w:cs="Times New Roman"/>
          <w:sz w:val="24"/>
          <w:szCs w:val="24"/>
        </w:rPr>
        <w:tab/>
      </w:r>
      <w:r w:rsidR="003A5590">
        <w:rPr>
          <w:rFonts w:ascii="Times New Roman" w:hAnsi="Times New Roman" w:cs="Times New Roman"/>
          <w:sz w:val="24"/>
          <w:szCs w:val="24"/>
        </w:rPr>
        <w:tab/>
      </w:r>
      <w:r w:rsidR="003A5590">
        <w:rPr>
          <w:rFonts w:ascii="Times New Roman" w:hAnsi="Times New Roman" w:cs="Times New Roman"/>
          <w:sz w:val="24"/>
          <w:szCs w:val="24"/>
        </w:rPr>
        <w:tab/>
      </w:r>
      <w:r w:rsidR="003A5590">
        <w:rPr>
          <w:rFonts w:ascii="Times New Roman" w:hAnsi="Times New Roman" w:cs="Times New Roman"/>
          <w:sz w:val="24"/>
          <w:szCs w:val="24"/>
        </w:rPr>
        <w:tab/>
      </w:r>
      <w:r w:rsidR="003A55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Д.В. Волков</w:t>
      </w:r>
    </w:p>
    <w:sectPr w:rsidR="004B129E" w:rsidRPr="004B129E" w:rsidSect="004B129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E"/>
    <w:rsid w:val="0003773C"/>
    <w:rsid w:val="00055EE6"/>
    <w:rsid w:val="00073999"/>
    <w:rsid w:val="00084D60"/>
    <w:rsid w:val="000B0B3A"/>
    <w:rsid w:val="000B291F"/>
    <w:rsid w:val="00134054"/>
    <w:rsid w:val="001470AD"/>
    <w:rsid w:val="0015793D"/>
    <w:rsid w:val="001847AE"/>
    <w:rsid w:val="00204B4E"/>
    <w:rsid w:val="00221FBA"/>
    <w:rsid w:val="00296B4D"/>
    <w:rsid w:val="002A701A"/>
    <w:rsid w:val="002C521D"/>
    <w:rsid w:val="002E1536"/>
    <w:rsid w:val="0032771D"/>
    <w:rsid w:val="00352D3F"/>
    <w:rsid w:val="003A5590"/>
    <w:rsid w:val="003F1FAF"/>
    <w:rsid w:val="00411581"/>
    <w:rsid w:val="0044264D"/>
    <w:rsid w:val="004B129E"/>
    <w:rsid w:val="004B53D6"/>
    <w:rsid w:val="004D5EBD"/>
    <w:rsid w:val="00520BB5"/>
    <w:rsid w:val="00533A4D"/>
    <w:rsid w:val="006053E2"/>
    <w:rsid w:val="00626214"/>
    <w:rsid w:val="00655543"/>
    <w:rsid w:val="006C2E80"/>
    <w:rsid w:val="006C44D0"/>
    <w:rsid w:val="007830E8"/>
    <w:rsid w:val="00792D67"/>
    <w:rsid w:val="007C3AC3"/>
    <w:rsid w:val="007D6DFF"/>
    <w:rsid w:val="00812CC9"/>
    <w:rsid w:val="00824A72"/>
    <w:rsid w:val="00831A5F"/>
    <w:rsid w:val="00872589"/>
    <w:rsid w:val="00890F9D"/>
    <w:rsid w:val="008D72AB"/>
    <w:rsid w:val="0091730E"/>
    <w:rsid w:val="0093210B"/>
    <w:rsid w:val="00981111"/>
    <w:rsid w:val="009E7987"/>
    <w:rsid w:val="00A138C6"/>
    <w:rsid w:val="00A75158"/>
    <w:rsid w:val="00B05631"/>
    <w:rsid w:val="00B320D8"/>
    <w:rsid w:val="00B5547B"/>
    <w:rsid w:val="00B55C12"/>
    <w:rsid w:val="00B6126D"/>
    <w:rsid w:val="00B97FB1"/>
    <w:rsid w:val="00C27047"/>
    <w:rsid w:val="00C3382A"/>
    <w:rsid w:val="00C43B5C"/>
    <w:rsid w:val="00C47629"/>
    <w:rsid w:val="00C61879"/>
    <w:rsid w:val="00CA6DAE"/>
    <w:rsid w:val="00CA73D2"/>
    <w:rsid w:val="00CC0A87"/>
    <w:rsid w:val="00D423F2"/>
    <w:rsid w:val="00D4364B"/>
    <w:rsid w:val="00D478F7"/>
    <w:rsid w:val="00D53F2D"/>
    <w:rsid w:val="00D572E6"/>
    <w:rsid w:val="00D66E4A"/>
    <w:rsid w:val="00DA0BD1"/>
    <w:rsid w:val="00DB48F8"/>
    <w:rsid w:val="00E24F73"/>
    <w:rsid w:val="00E65F58"/>
    <w:rsid w:val="00EA039D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C44FB-9DAB-4CB8-9E9A-AE477A2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6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F57036B2A20A0788A1000526A7B281BE0BCDEE1948786082128584A8BBB5AF111EC99513E303E2a22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Инна Игоревна Сигова</cp:lastModifiedBy>
  <cp:revision>15</cp:revision>
  <cp:lastPrinted>2022-04-25T12:47:00Z</cp:lastPrinted>
  <dcterms:created xsi:type="dcterms:W3CDTF">2024-04-15T11:45:00Z</dcterms:created>
  <dcterms:modified xsi:type="dcterms:W3CDTF">2024-04-15T13:16:00Z</dcterms:modified>
</cp:coreProperties>
</file>