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4A0" w:firstRow="1" w:lastRow="0" w:firstColumn="1" w:lastColumn="0" w:noHBand="0" w:noVBand="1"/>
      </w:tblPr>
      <w:tblGrid>
        <w:gridCol w:w="9464"/>
        <w:gridCol w:w="5386"/>
      </w:tblGrid>
      <w:tr w:rsidR="000F0190" w:rsidRPr="000F0190" w:rsidTr="00C866A9">
        <w:tc>
          <w:tcPr>
            <w:tcW w:w="9464" w:type="dxa"/>
          </w:tcPr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0190" w:rsidRPr="000F0190" w:rsidRDefault="000F0190" w:rsidP="000F0190">
            <w:pPr>
              <w:tabs>
                <w:tab w:val="left" w:pos="78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38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Красногорск 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E518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16</w:t>
            </w:r>
            <w:r w:rsidR="00991A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E518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ноября</w:t>
            </w:r>
            <w:r w:rsidR="00D415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3534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E518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Pr="000F01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E518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3075/11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городского округа Красногорск 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«Развитие потребительского рынка и услуг»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0190">
        <w:rPr>
          <w:rFonts w:ascii="Times New Roman" w:eastAsia="Times New Roman" w:hAnsi="Times New Roman"/>
          <w:b/>
          <w:sz w:val="36"/>
          <w:szCs w:val="36"/>
          <w:lang w:eastAsia="ru-RU"/>
        </w:rPr>
        <w:t>на 2017-2021 годы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sz w:val="28"/>
          <w:szCs w:val="28"/>
          <w:lang w:eastAsia="ru-RU"/>
        </w:rPr>
        <w:t>г. Красногорск</w:t>
      </w:r>
    </w:p>
    <w:p w:rsidR="000F0190" w:rsidRPr="000F0190" w:rsidRDefault="000F0190" w:rsidP="000F0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0B4E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468CE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0F0190" w:rsidRPr="000F0190" w:rsidRDefault="000F0190" w:rsidP="000F019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F0190">
        <w:rPr>
          <w:rFonts w:ascii="Times New Roman" w:hAnsi="Times New Roman"/>
          <w:caps/>
          <w:sz w:val="24"/>
          <w:szCs w:val="24"/>
        </w:rPr>
        <w:br w:type="page"/>
      </w:r>
      <w:r w:rsidRPr="000F0190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 городского округа Красногорск</w:t>
      </w:r>
    </w:p>
    <w:p w:rsidR="000F0190" w:rsidRPr="000F0190" w:rsidRDefault="000F0190" w:rsidP="000F01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0F0190" w:rsidRPr="000F0190" w:rsidRDefault="000F0190" w:rsidP="000F01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0F0190" w:rsidRPr="000F0190" w:rsidTr="00C866A9">
        <w:trPr>
          <w:trHeight w:val="200"/>
        </w:trPr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0F0190" w:rsidRDefault="00455921" w:rsidP="004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ВРИО з</w:t>
            </w:r>
            <w:r w:rsidR="000F0190"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0F0190"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35041A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350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455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</w:t>
            </w:r>
            <w:r w:rsidR="00455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 и работе с потребительским рынком</w:t>
            </w: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потребительского рынка и услуг</w:t>
            </w:r>
          </w:p>
        </w:tc>
      </w:tr>
      <w:tr w:rsidR="000F0190" w:rsidRPr="000F0190" w:rsidTr="00C866A9">
        <w:tc>
          <w:tcPr>
            <w:tcW w:w="4536" w:type="dxa"/>
            <w:vMerge w:val="restart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F0190" w:rsidRPr="000F0190" w:rsidTr="00C866A9">
        <w:tc>
          <w:tcPr>
            <w:tcW w:w="4536" w:type="dxa"/>
            <w:vMerge/>
          </w:tcPr>
          <w:p w:rsidR="000F0190" w:rsidRPr="000F0190" w:rsidRDefault="000F0190" w:rsidP="000F01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2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  <w:proofErr w:type="gramStart"/>
            <w:r w:rsidR="00522B2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бюджет округа)</w:t>
            </w:r>
          </w:p>
        </w:tc>
        <w:tc>
          <w:tcPr>
            <w:tcW w:w="1560" w:type="dxa"/>
            <w:vAlign w:val="center"/>
          </w:tcPr>
          <w:p w:rsidR="000F0190" w:rsidRPr="000F0190" w:rsidRDefault="000461D8" w:rsidP="00B26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7A2">
              <w:rPr>
                <w:rFonts w:ascii="Times New Roman" w:hAnsi="Times New Roman"/>
                <w:sz w:val="24"/>
                <w:szCs w:val="24"/>
              </w:rPr>
              <w:t>304</w:t>
            </w:r>
            <w:r w:rsidR="00F948B1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B267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0F0190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7</w:t>
            </w:r>
            <w:r w:rsidR="00DA466F">
              <w:rPr>
                <w:rFonts w:ascii="Times New Roman" w:hAnsi="Times New Roman"/>
                <w:sz w:val="24"/>
                <w:szCs w:val="24"/>
              </w:rPr>
              <w:t>3</w:t>
            </w:r>
            <w:r w:rsidRPr="000F0190">
              <w:rPr>
                <w:rFonts w:ascii="Times New Roman" w:hAnsi="Times New Roman"/>
                <w:sz w:val="24"/>
                <w:szCs w:val="24"/>
              </w:rPr>
              <w:t> </w:t>
            </w:r>
            <w:r w:rsidR="00DA466F">
              <w:rPr>
                <w:rFonts w:ascii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1843" w:type="dxa"/>
            <w:vAlign w:val="center"/>
          </w:tcPr>
          <w:p w:rsidR="000F0190" w:rsidRPr="000F0190" w:rsidRDefault="00F948B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77 225</w:t>
            </w:r>
          </w:p>
        </w:tc>
        <w:tc>
          <w:tcPr>
            <w:tcW w:w="1701" w:type="dxa"/>
            <w:vAlign w:val="center"/>
          </w:tcPr>
          <w:p w:rsidR="000F0190" w:rsidRPr="000F0190" w:rsidRDefault="00F948B1" w:rsidP="00B26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67A2">
              <w:rPr>
                <w:rFonts w:ascii="Times New Roman" w:hAnsi="Times New Roman"/>
                <w:sz w:val="24"/>
                <w:szCs w:val="24"/>
              </w:rPr>
              <w:t>7 225</w:t>
            </w:r>
          </w:p>
        </w:tc>
        <w:tc>
          <w:tcPr>
            <w:tcW w:w="1842" w:type="dxa"/>
            <w:vAlign w:val="center"/>
          </w:tcPr>
          <w:p w:rsidR="000F0190" w:rsidRPr="000F0190" w:rsidRDefault="00B267A2" w:rsidP="00B267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77 225</w:t>
            </w:r>
          </w:p>
        </w:tc>
      </w:tr>
      <w:tr w:rsidR="001C45E1" w:rsidRPr="000F0190" w:rsidTr="00C866A9">
        <w:tc>
          <w:tcPr>
            <w:tcW w:w="4536" w:type="dxa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560" w:type="dxa"/>
            <w:vAlign w:val="center"/>
          </w:tcPr>
          <w:p w:rsidR="001C45E1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701" w:type="dxa"/>
            <w:vAlign w:val="center"/>
          </w:tcPr>
          <w:p w:rsidR="001C45E1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1559" w:type="dxa"/>
            <w:vAlign w:val="center"/>
          </w:tcPr>
          <w:p w:rsidR="001C45E1" w:rsidRPr="000F019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45E1" w:rsidRPr="000F0190" w:rsidTr="00C866A9">
        <w:tc>
          <w:tcPr>
            <w:tcW w:w="4536" w:type="dxa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</w:tc>
        <w:tc>
          <w:tcPr>
            <w:tcW w:w="1560" w:type="dxa"/>
            <w:vAlign w:val="center"/>
          </w:tcPr>
          <w:p w:rsidR="001C45E1" w:rsidRDefault="001C45E1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701" w:type="dxa"/>
            <w:vAlign w:val="center"/>
          </w:tcPr>
          <w:p w:rsidR="001C45E1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559" w:type="dxa"/>
            <w:vAlign w:val="center"/>
          </w:tcPr>
          <w:p w:rsidR="001C45E1" w:rsidRPr="000F0190" w:rsidRDefault="001C45E1" w:rsidP="001C45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1C45E1" w:rsidRPr="000F0190" w:rsidRDefault="001C45E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района*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15 367 122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10 258 300</w:t>
            </w:r>
          </w:p>
        </w:tc>
        <w:tc>
          <w:tcPr>
            <w:tcW w:w="1559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5 045 422</w:t>
            </w:r>
          </w:p>
        </w:tc>
        <w:tc>
          <w:tcPr>
            <w:tcW w:w="1843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190">
              <w:rPr>
                <w:rFonts w:ascii="Times New Roman" w:hAnsi="Times New Roman"/>
                <w:sz w:val="24"/>
                <w:szCs w:val="24"/>
              </w:rPr>
              <w:t>3 400</w:t>
            </w:r>
          </w:p>
        </w:tc>
        <w:tc>
          <w:tcPr>
            <w:tcW w:w="1701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842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0F0190" w:rsidRPr="000F0190" w:rsidTr="00C866A9"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F0190" w:rsidRPr="000F0190" w:rsidTr="00C866A9">
        <w:trPr>
          <w:trHeight w:val="569"/>
        </w:trPr>
        <w:tc>
          <w:tcPr>
            <w:tcW w:w="4536" w:type="dxa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01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vAlign w:val="center"/>
          </w:tcPr>
          <w:p w:rsidR="000F0190" w:rsidRPr="000F0190" w:rsidRDefault="000F0190" w:rsidP="006F23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F948B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>45 194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10 331 672</w:t>
            </w:r>
          </w:p>
        </w:tc>
        <w:tc>
          <w:tcPr>
            <w:tcW w:w="1559" w:type="dxa"/>
            <w:vAlign w:val="center"/>
          </w:tcPr>
          <w:p w:rsidR="000F0190" w:rsidRPr="000F0190" w:rsidRDefault="000F0190" w:rsidP="00DA466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5 11</w:t>
            </w:r>
            <w:r w:rsidR="00DA46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DA466F"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  <w:tc>
          <w:tcPr>
            <w:tcW w:w="1843" w:type="dxa"/>
            <w:vAlign w:val="center"/>
          </w:tcPr>
          <w:p w:rsidR="000F0190" w:rsidRPr="000F0190" w:rsidRDefault="00F948B1" w:rsidP="000F01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80 625</w:t>
            </w:r>
          </w:p>
        </w:tc>
        <w:tc>
          <w:tcPr>
            <w:tcW w:w="1701" w:type="dxa"/>
            <w:vAlign w:val="center"/>
          </w:tcPr>
          <w:p w:rsidR="000F0190" w:rsidRPr="000F0190" w:rsidRDefault="000F0190" w:rsidP="006F23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>7 225</w:t>
            </w:r>
          </w:p>
        </w:tc>
        <w:tc>
          <w:tcPr>
            <w:tcW w:w="1842" w:type="dxa"/>
            <w:vAlign w:val="center"/>
          </w:tcPr>
          <w:p w:rsidR="000F0190" w:rsidRPr="000F0190" w:rsidRDefault="000F0190" w:rsidP="006F23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1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238F">
              <w:rPr>
                <w:rFonts w:ascii="Times New Roman" w:hAnsi="Times New Roman"/>
                <w:b/>
                <w:sz w:val="24"/>
                <w:szCs w:val="24"/>
              </w:rPr>
              <w:t>07 225</w:t>
            </w:r>
          </w:p>
        </w:tc>
      </w:tr>
    </w:tbl>
    <w:p w:rsidR="002312CE" w:rsidRDefault="002312CE" w:rsidP="002312CE">
      <w:pPr>
        <w:rPr>
          <w:rFonts w:ascii="Times New Roman" w:hAnsi="Times New Roman"/>
          <w:sz w:val="24"/>
          <w:szCs w:val="24"/>
        </w:rPr>
      </w:pPr>
      <w:r w:rsidRPr="002312CE">
        <w:rPr>
          <w:rFonts w:ascii="Times New Roman" w:hAnsi="Times New Roman"/>
          <w:sz w:val="24"/>
          <w:szCs w:val="24"/>
        </w:rPr>
        <w:t>Средства бюджета поселений* - предусмотрены в муниципальных программах поселений по данному направлению деятельности и не передаваемые в бюджет района.</w:t>
      </w:r>
    </w:p>
    <w:p w:rsidR="00522B21" w:rsidRPr="002312CE" w:rsidRDefault="00522B21" w:rsidP="002312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«1» - до 01.01.2018г. бюджет Красногорского муниципального района и поселений, входивших в его состав</w:t>
      </w:r>
    </w:p>
    <w:p w:rsidR="002312CE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2312CE" w:rsidRDefault="002312CE" w:rsidP="000F01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Sect="00716ECE">
          <w:footerReference w:type="default" r:id="rId9"/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2312CE" w:rsidRPr="002312CE" w:rsidRDefault="002312CE" w:rsidP="002312CE">
      <w:pPr>
        <w:jc w:val="center"/>
        <w:rPr>
          <w:rFonts w:ascii="Times New Roman" w:hAnsi="Times New Roman"/>
          <w:b/>
          <w:sz w:val="28"/>
          <w:szCs w:val="28"/>
        </w:rPr>
      </w:pPr>
      <w:r w:rsidRPr="002312CE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 </w:t>
      </w:r>
      <w:r w:rsidR="00522B21">
        <w:rPr>
          <w:rFonts w:ascii="Times New Roman" w:hAnsi="Times New Roman"/>
          <w:sz w:val="28"/>
          <w:szCs w:val="28"/>
        </w:rPr>
        <w:t xml:space="preserve">(до 09.01.2017г. – Красногорский муниципальный район) </w:t>
      </w:r>
      <w:r w:rsidRPr="002312CE">
        <w:rPr>
          <w:rFonts w:ascii="Times New Roman" w:hAnsi="Times New Roman"/>
          <w:sz w:val="28"/>
          <w:szCs w:val="28"/>
        </w:rPr>
        <w:t xml:space="preserve">динамично развивается сфера потребительского рынка и услуг. В связи со строительством жилых микрорайоном, на первых этажах открываются новые магазины шаговой доступности, объекты общественного питания и предоставления бытовых услуг, также вводятся новые ТРЦ. Обеспеченность населения площадью торговых объектов и посадочными местами в объектах общественного питания превышает нормативы в 3 раза. Оборот розничной торговли в 2015 году составил </w:t>
      </w:r>
      <w:r w:rsidRPr="002312CE">
        <w:rPr>
          <w:rFonts w:ascii="Times New Roman" w:hAnsi="Times New Roman"/>
          <w:spacing w:val="20"/>
          <w:sz w:val="28"/>
          <w:szCs w:val="28"/>
        </w:rPr>
        <w:t xml:space="preserve">49,2 </w:t>
      </w:r>
      <w:proofErr w:type="spellStart"/>
      <w:r w:rsidRPr="002312CE">
        <w:rPr>
          <w:rFonts w:ascii="Times New Roman" w:hAnsi="Times New Roman"/>
          <w:spacing w:val="20"/>
          <w:sz w:val="28"/>
          <w:szCs w:val="28"/>
        </w:rPr>
        <w:t>млрд</w:t>
      </w:r>
      <w:proofErr w:type="gramStart"/>
      <w:r w:rsidRPr="002312CE">
        <w:rPr>
          <w:rFonts w:ascii="Times New Roman" w:hAnsi="Times New Roman"/>
          <w:spacing w:val="20"/>
          <w:sz w:val="28"/>
          <w:szCs w:val="28"/>
        </w:rPr>
        <w:t>.р</w:t>
      </w:r>
      <w:proofErr w:type="gramEnd"/>
      <w:r w:rsidRPr="002312CE">
        <w:rPr>
          <w:rFonts w:ascii="Times New Roman" w:hAnsi="Times New Roman"/>
          <w:spacing w:val="20"/>
          <w:sz w:val="28"/>
          <w:szCs w:val="28"/>
        </w:rPr>
        <w:t>ублей</w:t>
      </w:r>
      <w:proofErr w:type="spellEnd"/>
      <w:r w:rsidRPr="002312CE">
        <w:rPr>
          <w:rFonts w:ascii="Times New Roman" w:hAnsi="Times New Roman"/>
          <w:spacing w:val="20"/>
          <w:sz w:val="28"/>
          <w:szCs w:val="28"/>
        </w:rPr>
        <w:t>, рост к 2014 году составил 38%.</w:t>
      </w:r>
      <w:r w:rsidRPr="002312CE">
        <w:rPr>
          <w:rFonts w:ascii="Times New Roman" w:hAnsi="Times New Roman"/>
          <w:sz w:val="28"/>
          <w:szCs w:val="28"/>
        </w:rPr>
        <w:t xml:space="preserve"> Обеспеченность населения бытовыми услугами, в том числе услугами бань, не достигает нормативов. Баня в городском поселении Красногорск, по ул. Октябрьской находится на реконструкции с 2014 г. Планируется строительство нового банного комплекса в </w:t>
      </w:r>
      <w:proofErr w:type="spellStart"/>
      <w:r w:rsidR="00A16290">
        <w:rPr>
          <w:rFonts w:ascii="Times New Roman" w:hAnsi="Times New Roman"/>
          <w:sz w:val="28"/>
          <w:szCs w:val="28"/>
        </w:rPr>
        <w:t>р</w:t>
      </w:r>
      <w:r w:rsidRPr="002312CE">
        <w:rPr>
          <w:rFonts w:ascii="Times New Roman" w:hAnsi="Times New Roman"/>
          <w:sz w:val="28"/>
          <w:szCs w:val="28"/>
        </w:rPr>
        <w:t>.п</w:t>
      </w:r>
      <w:proofErr w:type="spellEnd"/>
      <w:r w:rsidRPr="002312CE">
        <w:rPr>
          <w:rFonts w:ascii="Times New Roman" w:hAnsi="Times New Roman"/>
          <w:sz w:val="28"/>
          <w:szCs w:val="28"/>
        </w:rPr>
        <w:t>. Нахабино.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 xml:space="preserve">На территории городского округа Красногорск, по расчету потребности количества рынков и на основании постановления от 27.12.2012 г. № 1590/47 «Об утверждении </w:t>
      </w:r>
      <w:proofErr w:type="gramStart"/>
      <w:r w:rsidRPr="002312CE">
        <w:rPr>
          <w:rFonts w:ascii="Times New Roman" w:hAnsi="Times New Roman"/>
          <w:sz w:val="28"/>
          <w:szCs w:val="28"/>
        </w:rPr>
        <w:t>порядка формирования плана организации розничных рынков</w:t>
      </w:r>
      <w:proofErr w:type="gramEnd"/>
      <w:r w:rsidRPr="002312CE">
        <w:rPr>
          <w:rFonts w:ascii="Times New Roman" w:hAnsi="Times New Roman"/>
          <w:sz w:val="28"/>
          <w:szCs w:val="28"/>
        </w:rPr>
        <w:t xml:space="preserve">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 В городском поселении Красногорск размещен сельскохозяйственный рынок.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На территории городского округа Красногорск утверждена Схема размещения нестационарных торговых объектов, проводятся мероприятия по выявлению и ликвидации незаконных объектов.</w:t>
      </w:r>
    </w:p>
    <w:p w:rsidR="002312CE" w:rsidRPr="002312CE" w:rsidRDefault="002312CE" w:rsidP="002312C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В перечне мест под организацию ярмарок состоит 10 площадок, на которых проводятся ярмарки «Выходного дня», сезонные и «Праздничные», где осуществляется продажа товаров народного потребления. Также по плану Министерства потребительского рынка и услуг Московской области размещаются ярмарки «</w:t>
      </w:r>
      <w:proofErr w:type="spellStart"/>
      <w:r w:rsidRPr="002312CE">
        <w:rPr>
          <w:rFonts w:ascii="Times New Roman" w:hAnsi="Times New Roman"/>
          <w:sz w:val="28"/>
          <w:szCs w:val="28"/>
        </w:rPr>
        <w:t>Ценопад</w:t>
      </w:r>
      <w:proofErr w:type="spellEnd"/>
      <w:r w:rsidRPr="002312CE">
        <w:rPr>
          <w:rFonts w:ascii="Times New Roman" w:hAnsi="Times New Roman"/>
          <w:sz w:val="28"/>
          <w:szCs w:val="28"/>
        </w:rPr>
        <w:t>» и «Социальная», ориентированные на социально незащищенные слои населения.</w:t>
      </w:r>
    </w:p>
    <w:p w:rsidR="002312CE" w:rsidRPr="002312CE" w:rsidRDefault="002312CE" w:rsidP="00FA5E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Организация похоронного дела на территории городского округа Красного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рск св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>язана с решением ряда проблем:</w:t>
      </w:r>
    </w:p>
    <w:p w:rsidR="002312CE" w:rsidRPr="002312CE" w:rsidRDefault="002312CE" w:rsidP="002312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Нехватка земли под предоставление новых мест захоронения на существующих кладбищах. Она особенно ощущается при создании новых мест погребения. Территории действующих кладбищ городского округа Красного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рск пр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>актически полностью использованы для создания новых мест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Учитывая тот факт, что кладбища могут размещаться только в двух категориях земель - земли с особыми условиями использования территорий или земли особо охраняемых территорий, а также требования санитарных и градостроительных норм и правил, земель для организации нового кладбища в городском округе Красногорск нет.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Решение вопроса по строительству нового кладбища возможно лишь при условии подбора земельного участка на территории городского округа Красногорск</w:t>
      </w:r>
      <w:r w:rsidR="00DC2631">
        <w:rPr>
          <w:rFonts w:ascii="Times New Roman" w:hAnsi="Times New Roman"/>
          <w:bCs/>
          <w:sz w:val="28"/>
          <w:szCs w:val="28"/>
        </w:rPr>
        <w:t>,</w:t>
      </w:r>
      <w:r w:rsidRPr="002312CE">
        <w:rPr>
          <w:rFonts w:ascii="Times New Roman" w:hAnsi="Times New Roman"/>
          <w:bCs/>
          <w:sz w:val="28"/>
          <w:szCs w:val="28"/>
        </w:rPr>
        <w:t xml:space="preserve"> при условии выкупа их у собственников (при желании собственника продать земли), заключение соглашений с муниципалитетами, имеющими профицит мест захоронений и изменения категории земель.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Расширение имеющихся кладбищ сдерживается проблемой отсутствия правоустанавливающих документов. В этой связи необходимы меры по оформлению земельных участков и постановке их на кадастровый учет.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Нерациональное использование земли, на которой расположены кладбища. По оценкам специалистов до 25% земли занимают брошенные могилы.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Таким образом, существует необходимость принятия комплекса мер по стабилизации и координации развития похоронного дела на территории городского округа Красногорск.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В среднем ежегодно на городских и сельских кладбищах происходит 1950 захоронений, из них 60% или 1170 в количественном выражении и приходятся на 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подзахоронения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>, на новые захоронения приходятся 40% или 780 в количественном выражении. На одно новое захоронение с учетом разрывов между оградами, тропинками, дорогами необходимо 10 кв. м. Таким образом, необходимая ежегодная потребность свободной земли для организации новых захоронений составляет 0,78 га.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На территории городского округа Красногорск насчитывается двенадцать кладбищ, которые занимают площадь 51,2 га, в том числе два из них с общей свободной площадью (примерно 3,14 га) для организации новых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Исходя из этих данных, становится понятно, что существующих резервов земли хватит на 1,2 года.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В настоящее время в городском округе Красногорск действуют: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hAnsi="Times New Roman"/>
          <w:bCs/>
          <w:sz w:val="28"/>
          <w:szCs w:val="28"/>
        </w:rPr>
        <w:t>- Муниципальное казённое учреждение "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Красногорская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 xml:space="preserve"> похоронная служба» (далее – МКУ), которое 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создано в целях обеспечения реализации предусмотренных законодательством Российской Федерации и законодательством Московской области полномочий.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Коммерческие организации, предоставляющие ритуальные услуги.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Эти организации осуществляют изготовление памятников, венков, крестов, оград и прочих принадлежностей похоронного назначения, оказывают услуги по предоставлению катафалков, копке могил, установке памятников и благоустройству мест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366"/>
      <w:bookmarkEnd w:id="1"/>
      <w:r w:rsidRPr="002312CE">
        <w:rPr>
          <w:rFonts w:ascii="Times New Roman" w:eastAsia="Times New Roman" w:hAnsi="Times New Roman"/>
          <w:b/>
          <w:sz w:val="28"/>
          <w:szCs w:val="28"/>
          <w:lang w:eastAsia="ru-RU"/>
        </w:rPr>
        <w:t>Прогноз развития сферы потребительского рынка с учетом реализации программы.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будут достигнуты следующие показатели: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1. Обеспеченность населения площадью торговых объектов в 2021 году составит – </w:t>
      </w:r>
      <w:r w:rsidRPr="002312CE">
        <w:rPr>
          <w:rFonts w:ascii="Times New Roman" w:hAnsi="Times New Roman"/>
          <w:b/>
          <w:sz w:val="28"/>
          <w:szCs w:val="28"/>
        </w:rPr>
        <w:t>2920,4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кв. м. </w:t>
      </w:r>
    </w:p>
    <w:p w:rsidR="006732E7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22B21" w:rsidRPr="002312CE">
        <w:rPr>
          <w:rFonts w:ascii="Times New Roman" w:hAnsi="Times New Roman"/>
          <w:sz w:val="28"/>
          <w:szCs w:val="28"/>
        </w:rPr>
        <w:t>Прирост посадочных мест на объектах общественного питания к 2021 году составит 2900 единиц.</w:t>
      </w:r>
    </w:p>
    <w:p w:rsidR="00FA5E0E" w:rsidRDefault="006732E7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312CE"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Прирост </w:t>
      </w:r>
      <w:r w:rsidR="002312CE" w:rsidRPr="002312CE">
        <w:rPr>
          <w:rFonts w:ascii="Times New Roman" w:hAnsi="Times New Roman"/>
          <w:sz w:val="28"/>
          <w:szCs w:val="28"/>
        </w:rPr>
        <w:t>рабочих мест на объектах бытовых услуг к 2021 году составит 300 единиц.</w:t>
      </w:r>
    </w:p>
    <w:p w:rsidR="00FA5E0E" w:rsidRPr="002312CE" w:rsidRDefault="00FA5E0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312CE" w:rsidRPr="002312CE">
        <w:rPr>
          <w:rFonts w:ascii="Times New Roman" w:eastAsia="Times New Roman" w:hAnsi="Times New Roman"/>
          <w:sz w:val="28"/>
          <w:szCs w:val="28"/>
          <w:lang w:eastAsia="ru-RU"/>
        </w:rPr>
        <w:t>.  Количество введенных банных объектов по программе «100 бань Подмосковья» достигнет к 2019 году количества 2-х единиц (в базовом 2015 г. - 0).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Контроль при реализации мероприятий Программы осуществляет отдел потребительского рынка и рекламы управления по инвестициям и развитию предпринимательства администрации городского округа Красногорск Московской области. Координатор Программы несет ответственность за эффективность ее реализации: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осуществляет координацию деятельности органов местного самоуправления, специализированных служб по вопросам похоронного дела (по согласованию) в соответствии с целями и задачами Программы;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по итогам года формирует отчеты о ходе реализации Программы;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с учетом выделяемых на реализацию Программы финансовых средств ежегодно готовит в установленном действующим законодательством порядке предложения по уточнению основных показателей и затрат по программным мероприятиям, механизма реализации Программы, состава исполнителей;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проводит мероприятия по организации и проведению мониторинга реализации Программы.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Управление земельно-имущественных отношений администрации городского округа Красногорск оказывает содействие в рамках своей компетенции в выполнении мероприятий Программы по оформлению исходно-разрешительной документации на расширение и реконструкцию территорий действующих кладбищ, строительств</w:t>
      </w:r>
      <w:r w:rsidR="001F1A7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новых мест захоронения. В ходе выполнения Программы в порядке, предусмотренном действующим законодательством, в пределах имеющихся полномочий обеспечивает совместно с исполнителями Программы выполнение мероприятий (в том числе оказывает содействие) по межеванию территорий действующих кладбищ, переоформлению документов на земельные участки, занимаемые кладбищами, строительству новых кладбищ, по осуществлению перевода из состава </w:t>
      </w:r>
      <w:proofErr w:type="gramStart"/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земель</w:t>
      </w:r>
      <w:proofErr w:type="gramEnd"/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действующего лесного и земельного законодательства, проводит работу по внесению в Реестр муниципального имущества администрации городского округа Красногорск.</w:t>
      </w:r>
    </w:p>
    <w:p w:rsidR="002312CE" w:rsidRPr="002312CE" w:rsidRDefault="002312CE" w:rsidP="002312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МКУ осуществляет муниципальные услуги и выполнение работ в сфере похоронного дела.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В ходе реализации Программы предполагается достижение следующих результатов: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при организации нового кладбища увеличение площади, пригодной для захоронения;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улучшение уровня содержания мест захоронения и организации ритуальных услуг в сфере похоронного дела;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повышение уровня благоустройства кладбищ.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b/>
          <w:i/>
          <w:sz w:val="28"/>
          <w:szCs w:val="28"/>
        </w:rPr>
        <w:t>Целью программы является</w:t>
      </w:r>
      <w:r w:rsidRPr="002312CE">
        <w:rPr>
          <w:rFonts w:ascii="Times New Roman" w:hAnsi="Times New Roman"/>
          <w:i/>
          <w:sz w:val="28"/>
          <w:szCs w:val="28"/>
        </w:rPr>
        <w:t>:</w:t>
      </w:r>
      <w:r w:rsidRPr="002312CE">
        <w:rPr>
          <w:rFonts w:ascii="Times New Roman" w:hAnsi="Times New Roman"/>
          <w:sz w:val="28"/>
          <w:szCs w:val="28"/>
        </w:rPr>
        <w:t xml:space="preserve"> Создание условий для наиболее полного удовлетворения потребностей населения, в том числе граждан с ограниченными возможностями,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 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развития потребительского рынка и услуг позволит: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обеспечить рациональное развитие сферы потребительского рынка и услуг района с учетом потребности в объектах всех направлений отрасли;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социально-экономического развития района, увеличения торговых площадей;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привлечь средства частных инвесторов для решения задач по выполнению программы «100 бань Подмосковья»;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создать дополнительные рабочие места;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увеличить долю налоговых поступлений в бюджет района от предприятий торговли и услуг;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повысить культуру обслуживания, внедрить современные стандарты в сфере торговли, общественного питания и бытового обслуживания населения;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увеличить темпы роста товарооборота розничной торговли и платных услуг, предоставляемых населению </w:t>
      </w:r>
      <w:r w:rsidRPr="002312CE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доступность услуг в сфере потребительского рынка для граждан с ограниченными возможностями, оказание </w:t>
      </w:r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инвалидам помощи в преодолении барьеров, мешающих получению услуг;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увеличить долю обеспечения населения продуктами российского производства, в </w:t>
      </w:r>
      <w:proofErr w:type="spellStart"/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т.ч</w:t>
      </w:r>
      <w:proofErr w:type="spellEnd"/>
      <w:r w:rsidRPr="002312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фермерскими продуктами.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совершенствование системы организации похоронного дела на территории городского округа Красногорск.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создать условия для развития услуг в сфере похоронного дела;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улучшить качество содержания мест погребений с учетом национальных и других особенностей и традиций, организация ритуальных услуг;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CE">
        <w:rPr>
          <w:rFonts w:ascii="Times New Roman" w:hAnsi="Times New Roman"/>
          <w:sz w:val="28"/>
          <w:szCs w:val="28"/>
        </w:rPr>
        <w:t>- повысить уровень благоустройства кладбищ, создание современной системы сервиса.</w:t>
      </w:r>
    </w:p>
    <w:p w:rsidR="002312CE" w:rsidRPr="002312CE" w:rsidRDefault="002312CE" w:rsidP="002312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Вместе с этим, в ходе реализации Программы планируется выполнение следующих мероприятий: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Содержание мест захоронения, повышение уровня благоустройства кладбищ, организация ритуальных услуг, согласно «Порядка деятельности общественных кладбищ и крематориев на территории Московской области», что приведёт к 100% достижению показателя «Доля кладбищ, соответствующих требованиям порядка деятельности общественных кладбищ и крематориев на территории Красногорского муниципального района»;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Транспортировка в морг тел (останков) умерших для производства судебно-медицинской экспертизы (исследования) и патологоанатомического вскрытия;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CE">
        <w:rPr>
          <w:rFonts w:ascii="Times New Roman" w:hAnsi="Times New Roman"/>
          <w:bCs/>
          <w:sz w:val="28"/>
          <w:szCs w:val="28"/>
        </w:rPr>
        <w:t>-</w:t>
      </w: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могил и надгробий Героев СССР, РФ, не имеющих родственников;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eastAsia="Times New Roman" w:hAnsi="Times New Roman"/>
          <w:sz w:val="28"/>
          <w:szCs w:val="28"/>
          <w:lang w:eastAsia="ru-RU"/>
        </w:rPr>
        <w:t>- Участие в проведении работ по оформлению права собственности городского округа Красногорск на земельные участки под кладбищами, в соответствии с законодательством Российской Федерации. При оформлении права собственности на все общественные кладбища</w:t>
      </w:r>
      <w:r w:rsidRPr="002312CE">
        <w:rPr>
          <w:rFonts w:ascii="Times New Roman" w:hAnsi="Times New Roman"/>
          <w:bCs/>
          <w:sz w:val="28"/>
          <w:szCs w:val="28"/>
        </w:rPr>
        <w:t xml:space="preserve"> в городском округе Красногорск достигнут </w:t>
      </w:r>
      <w:r w:rsidRPr="002312CE">
        <w:rPr>
          <w:rFonts w:ascii="Times New Roman" w:hAnsi="Times New Roman"/>
          <w:bCs/>
          <w:sz w:val="28"/>
          <w:szCs w:val="28"/>
          <w:shd w:val="clear" w:color="auto" w:fill="FFFFFF"/>
        </w:rPr>
        <w:t>- 100% показатель</w:t>
      </w:r>
      <w:r w:rsidRPr="002312CE">
        <w:rPr>
          <w:rFonts w:ascii="Times New Roman" w:hAnsi="Times New Roman"/>
          <w:bCs/>
          <w:sz w:val="28"/>
          <w:szCs w:val="28"/>
        </w:rPr>
        <w:t xml:space="preserve"> «Доля кладбищ, соответствующих требованиям порядка деятельности общественных кладбищ и крематориев на территории </w:t>
      </w:r>
      <w:r w:rsidRPr="002312CE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Московской области</w:t>
      </w:r>
      <w:r w:rsidRPr="002312CE">
        <w:rPr>
          <w:rFonts w:ascii="Times New Roman" w:hAnsi="Times New Roman"/>
          <w:bCs/>
          <w:sz w:val="28"/>
          <w:szCs w:val="28"/>
        </w:rPr>
        <w:t>»;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- Подготовка предложений о выделении земельного участка для размещения на территории городского округа Красногорск </w:t>
      </w:r>
      <w:proofErr w:type="spellStart"/>
      <w:r w:rsidRPr="002312CE">
        <w:rPr>
          <w:rFonts w:ascii="Times New Roman" w:hAnsi="Times New Roman"/>
          <w:bCs/>
          <w:sz w:val="28"/>
          <w:szCs w:val="28"/>
        </w:rPr>
        <w:t>межпоселенческого</w:t>
      </w:r>
      <w:proofErr w:type="spellEnd"/>
      <w:r w:rsidRPr="002312CE">
        <w:rPr>
          <w:rFonts w:ascii="Times New Roman" w:hAnsi="Times New Roman"/>
          <w:bCs/>
          <w:sz w:val="28"/>
          <w:szCs w:val="28"/>
        </w:rPr>
        <w:t xml:space="preserve"> кладбища.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Организация нового кладбища обеспечит население городского округа Красногорск местами для захоронений.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Эффективность использования земельных площадей для захоронения зависит и от рационального использования имеющихся мест захоронений муниципальных кладбищ, расположенных на территории городского округа Красногорск. С целью выяснения ситуации с местами захоронений предусмотрена организация проведения в рамках своей компетенции инвентаризации земельных участков, занятых кладбищами, зданий и сооружений на кладбищах, оформления и переоформления документов на кладбища, восстановления технической документации, выявления неухоженных мест захоронений, создания системы хранения, обработки информации о произведенных захоронениях.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В целях </w:t>
      </w:r>
      <w:proofErr w:type="gramStart"/>
      <w:r w:rsidRPr="002312CE">
        <w:rPr>
          <w:rFonts w:ascii="Times New Roman" w:hAnsi="Times New Roman"/>
          <w:bCs/>
          <w:sz w:val="28"/>
          <w:szCs w:val="28"/>
        </w:rPr>
        <w:t>улучшения уровня содержания мест захоронения</w:t>
      </w:r>
      <w:proofErr w:type="gramEnd"/>
      <w:r w:rsidRPr="002312CE">
        <w:rPr>
          <w:rFonts w:ascii="Times New Roman" w:hAnsi="Times New Roman"/>
          <w:bCs/>
          <w:sz w:val="28"/>
          <w:szCs w:val="28"/>
        </w:rPr>
        <w:t xml:space="preserve"> и организации ритуальных услуг необходимо проведение следующих видов работ и достижению планируемого значения показателя «Обеспечение 100% содержания мест захоронений (кладбищ) по нормативу, установленному Законом Московской области»: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эффективная уборка и содержание кладбищ с применением новых технологий;</w:t>
      </w:r>
    </w:p>
    <w:p w:rsidR="002312CE" w:rsidRP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>- систематизированная выпиловка аварийных и сухостойных деревьев;</w:t>
      </w:r>
    </w:p>
    <w:p w:rsidR="002312CE" w:rsidRPr="002312CE" w:rsidRDefault="002312CE" w:rsidP="002312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2312CE">
        <w:rPr>
          <w:rFonts w:ascii="Times New Roman" w:hAnsi="Times New Roman"/>
          <w:bCs/>
          <w:sz w:val="28"/>
          <w:szCs w:val="28"/>
        </w:rPr>
        <w:t xml:space="preserve">- развитие материально-технической и производственной базы, что предусматривает мероприятия по модернизации технического и технологического комплекса организации, также предусматривает закупку и обновление специализированной техники и инструмента, необходимых для обслуживания кладбищ. </w:t>
      </w:r>
    </w:p>
    <w:p w:rsidR="002312CE" w:rsidRDefault="002312CE" w:rsidP="00231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  <w:sectPr w:rsidR="002312CE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  <w:r w:rsidRPr="002312CE">
        <w:rPr>
          <w:rFonts w:ascii="Times New Roman" w:hAnsi="Times New Roman"/>
          <w:bCs/>
          <w:sz w:val="28"/>
          <w:szCs w:val="28"/>
        </w:rPr>
        <w:t>В рамках программных мероприятий будет осуществлен мониторинг состояния сферы похоронного дела на территори</w:t>
      </w:r>
      <w:r w:rsidR="0028382B">
        <w:rPr>
          <w:rFonts w:ascii="Times New Roman" w:hAnsi="Times New Roman"/>
          <w:bCs/>
          <w:sz w:val="28"/>
          <w:szCs w:val="28"/>
        </w:rPr>
        <w:t>и городского округа Красногорск</w:t>
      </w:r>
      <w:r w:rsidRPr="002312CE">
        <w:rPr>
          <w:rFonts w:ascii="Times New Roman" w:hAnsi="Times New Roman"/>
          <w:bCs/>
          <w:sz w:val="28"/>
          <w:szCs w:val="28"/>
        </w:rPr>
        <w:t>, мониторинг деятельности специализированных служб, создана информационная база.</w:t>
      </w:r>
    </w:p>
    <w:p w:rsidR="00F4356E" w:rsidRPr="00067D66" w:rsidRDefault="004C4444" w:rsidP="00F435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89"/>
      <w:bookmarkEnd w:id="2"/>
      <w:r w:rsidRPr="00067D66">
        <w:rPr>
          <w:rFonts w:ascii="Times New Roman" w:hAnsi="Times New Roman" w:cs="Times New Roman"/>
          <w:b/>
          <w:sz w:val="28"/>
          <w:szCs w:val="28"/>
        </w:rPr>
        <w:t>П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>ланируемы</w:t>
      </w:r>
      <w:r w:rsidR="000419D8" w:rsidRPr="00067D66">
        <w:rPr>
          <w:rFonts w:ascii="Times New Roman" w:hAnsi="Times New Roman" w:cs="Times New Roman"/>
          <w:b/>
          <w:sz w:val="28"/>
          <w:szCs w:val="28"/>
        </w:rPr>
        <w:t>е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0419D8" w:rsidRPr="00067D66">
        <w:rPr>
          <w:rFonts w:ascii="Times New Roman" w:hAnsi="Times New Roman" w:cs="Times New Roman"/>
          <w:b/>
          <w:sz w:val="28"/>
          <w:szCs w:val="28"/>
        </w:rPr>
        <w:t>ы</w:t>
      </w:r>
      <w:r w:rsidR="00F4356E" w:rsidRPr="00067D66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F4356E" w:rsidRPr="00230AFC" w:rsidRDefault="00F4356E" w:rsidP="00F435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409"/>
        <w:gridCol w:w="1135"/>
        <w:gridCol w:w="993"/>
        <w:gridCol w:w="1419"/>
        <w:gridCol w:w="1277"/>
        <w:gridCol w:w="1560"/>
        <w:gridCol w:w="1274"/>
        <w:gridCol w:w="1418"/>
        <w:gridCol w:w="1418"/>
        <w:gridCol w:w="1985"/>
      </w:tblGrid>
      <w:tr w:rsidR="007D1D82" w:rsidRPr="00230AFC" w:rsidTr="00C866A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№ </w:t>
            </w:r>
            <w:proofErr w:type="gramStart"/>
            <w:r w:rsidRPr="00230AFC">
              <w:rPr>
                <w:sz w:val="24"/>
                <w:szCs w:val="24"/>
              </w:rPr>
              <w:t>п</w:t>
            </w:r>
            <w:proofErr w:type="gramEnd"/>
            <w:r w:rsidRPr="00230AFC">
              <w:rPr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показателя*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7D1D82" w:rsidRPr="00230AFC" w:rsidTr="007D1D8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7D1D82" w:rsidRDefault="007D1D82" w:rsidP="00C866A9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82" w:rsidRPr="00230AFC" w:rsidRDefault="007D1D8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01F2C" w:rsidRPr="00230AFC" w:rsidTr="00F01F2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01F2C" w:rsidRPr="00230AFC" w:rsidTr="00C866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F01F2C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290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F2C" w:rsidRPr="00230AFC" w:rsidRDefault="00B44C17" w:rsidP="00F01F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01F2C">
              <w:rPr>
                <w:sz w:val="24"/>
                <w:szCs w:val="24"/>
              </w:rPr>
              <w:t>рограмма</w:t>
            </w:r>
            <w:r w:rsidR="00F01F2C" w:rsidRPr="00230AFC">
              <w:rPr>
                <w:sz w:val="24"/>
                <w:szCs w:val="24"/>
              </w:rPr>
              <w:t xml:space="preserve"> </w:t>
            </w:r>
            <w:r w:rsidR="00F01F2C">
              <w:rPr>
                <w:sz w:val="24"/>
                <w:szCs w:val="24"/>
              </w:rPr>
              <w:t>1 «Развитие потребительского рынка и услуг» на 2017 – 2021г</w:t>
            </w:r>
            <w:r w:rsidR="007D1D82">
              <w:rPr>
                <w:sz w:val="24"/>
                <w:szCs w:val="24"/>
              </w:rPr>
              <w:t>.</w:t>
            </w:r>
            <w:r w:rsidR="00F01F2C">
              <w:rPr>
                <w:sz w:val="24"/>
                <w:szCs w:val="24"/>
              </w:rPr>
              <w:t>г</w:t>
            </w:r>
            <w:r w:rsidR="007D1D8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C" w:rsidRPr="00230AFC" w:rsidRDefault="00F01F2C" w:rsidP="004C444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D1D82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Обеспеченность населения площадью торговых объектов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 w:rsidP="004B44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B44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82" w:rsidRPr="00230AFC" w:rsidRDefault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27E">
              <w:rPr>
                <w:rFonts w:ascii="Times New Roman" w:hAnsi="Times New Roman"/>
                <w:sz w:val="24"/>
                <w:szCs w:val="24"/>
              </w:rPr>
              <w:t>кв. м/на 1000 жит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4D63">
              <w:rPr>
                <w:rFonts w:ascii="Times New Roman" w:eastAsia="Lucida Sans Unicode" w:hAnsi="Times New Roman"/>
                <w:sz w:val="24"/>
                <w:szCs w:val="24"/>
              </w:rPr>
              <w:t>2816,0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0B4D63">
              <w:rPr>
                <w:rFonts w:ascii="Times New Roman" w:eastAsia="Lucida Sans Unicode" w:hAnsi="Times New Roman"/>
                <w:sz w:val="24"/>
                <w:szCs w:val="24"/>
              </w:rPr>
              <w:t>3168,0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326899">
              <w:rPr>
                <w:rFonts w:ascii="Times New Roman" w:eastAsia="Lucida Sans Unicode" w:hAnsi="Times New Roman"/>
                <w:sz w:val="24"/>
                <w:szCs w:val="24"/>
              </w:rPr>
              <w:t>3104,8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2992,3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0B4D63" w:rsidRDefault="007D1D82" w:rsidP="00F45893">
            <w:pPr>
              <w:pStyle w:val="ConsPlusNormal"/>
              <w:ind w:firstLine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9">
              <w:rPr>
                <w:rFonts w:ascii="Times New Roman" w:hAnsi="Times New Roman" w:cs="Times New Roman"/>
                <w:sz w:val="24"/>
                <w:szCs w:val="24"/>
              </w:rPr>
              <w:t>2920,4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82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</w:tr>
      <w:tr w:rsidR="00314E78" w:rsidRPr="00230AFC" w:rsidTr="00F4589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посадочных мест на объектах общественного питания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Посадочных мест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0B4D63" w:rsidRDefault="00314E78" w:rsidP="00F45893">
            <w:pPr>
              <w:pStyle w:val="ConsPlusNormal"/>
              <w:ind w:hanging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hanging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</w:tc>
      </w:tr>
      <w:tr w:rsidR="00314E78" w:rsidRPr="00230AFC" w:rsidTr="00F45893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Default="00314E78" w:rsidP="007D1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8" w:rsidRPr="007E1DA1" w:rsidRDefault="00314E78" w:rsidP="00C86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1DA1">
              <w:rPr>
                <w:rFonts w:ascii="Times New Roman" w:eastAsia="Times New Roman" w:hAnsi="Times New Roman"/>
                <w:lang w:eastAsia="ru-RU"/>
              </w:rPr>
              <w:t>Рабочих</w:t>
            </w:r>
          </w:p>
          <w:p w:rsidR="00314E78" w:rsidRPr="006E58A9" w:rsidRDefault="00314E78" w:rsidP="00C866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1DA1">
              <w:rPr>
                <w:rFonts w:ascii="Times New Roman" w:hAnsi="Times New Roman"/>
              </w:rPr>
              <w:t>мест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C4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B15C4F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</w:tc>
      </w:tr>
      <w:tr w:rsidR="00314E78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78" w:rsidRPr="00230AFC" w:rsidRDefault="00314E78" w:rsidP="004C44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программе «100 бань Подмосковья»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 губернатора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 w:rsidRPr="009C54FE">
              <w:rPr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0B4D63" w:rsidRDefault="00314E78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</w:t>
            </w:r>
          </w:p>
        </w:tc>
      </w:tr>
      <w:tr w:rsidR="00A16290" w:rsidRPr="00230AFC" w:rsidTr="00F4589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90" w:rsidRDefault="00A16290" w:rsidP="004C444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Pr="009D254B" w:rsidRDefault="00A16290" w:rsidP="00A16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«Цивилизованная торговля» (Эффективность работы органов местного самоуправления по организации торговой деятельности)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F45893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 губернатора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Pr="009C54FE" w:rsidRDefault="00A16290" w:rsidP="002A4E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Pr="000B4D63" w:rsidRDefault="00A16290" w:rsidP="00F4589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A16290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F45893" w:rsidP="00F458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F45893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F45893" w:rsidP="00F45893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Pr="000B4D63" w:rsidRDefault="00F45893" w:rsidP="00F458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90" w:rsidRDefault="00F45893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5</w:t>
            </w:r>
          </w:p>
        </w:tc>
      </w:tr>
      <w:tr w:rsidR="00314E78" w:rsidRPr="00230AFC" w:rsidTr="004B44A9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 w:rsidP="00F45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45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района/городского округа муниципального казенного учреждения в сфере погребения и похоронного дела по принципу: 1 муниципальный район/городской округ – 1 МКУ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4B44A9" w:rsidP="00C866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государственной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C827EC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314E7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C827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F45893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6</w:t>
            </w:r>
          </w:p>
        </w:tc>
      </w:tr>
      <w:tr w:rsidR="00314E78" w:rsidRPr="00230AFC" w:rsidTr="00314E7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314E78" w:rsidP="00F45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45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4D78AD" w:rsidP="007D1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Чистое кладбище (</w:t>
            </w:r>
            <w:r w:rsidR="00314E78" w:rsidRPr="009D254B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 и крематориев, на территории муниципального образования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78" w:rsidRPr="00230AFC" w:rsidRDefault="006732E7" w:rsidP="00673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Обращение губернатора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314E78" w:rsidP="004C4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54B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6D534B" w:rsidRDefault="00BF603B" w:rsidP="00BF603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043DC" w:rsidRDefault="00314E78" w:rsidP="00C866A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Pr="00E367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4043DC" w:rsidRDefault="00314E78" w:rsidP="00C866A9">
            <w:pPr>
              <w:widowControl w:val="0"/>
              <w:tabs>
                <w:tab w:val="left" w:pos="255"/>
                <w:tab w:val="center" w:pos="50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Pr="00E367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5C7213" w:rsidRDefault="00642B66" w:rsidP="00C866A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5C7213">
              <w:rPr>
                <w:rFonts w:ascii="Times New Roman" w:hAnsi="Times New Roman"/>
                <w:sz w:val="24"/>
                <w:szCs w:val="24"/>
              </w:rPr>
              <w:t>79,17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6D534B" w:rsidRDefault="00642B66" w:rsidP="00C866A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78D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6D534B" w:rsidRDefault="00314E78" w:rsidP="00C866A9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D5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78" w:rsidRPr="00230AFC" w:rsidRDefault="00634196" w:rsidP="00314E7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7</w:t>
            </w:r>
          </w:p>
        </w:tc>
      </w:tr>
    </w:tbl>
    <w:p w:rsidR="00181CDF" w:rsidRDefault="00181CDF" w:rsidP="0018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356E" w:rsidRDefault="00181CDF" w:rsidP="0018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</w:t>
      </w:r>
    </w:p>
    <w:p w:rsidR="00181CDF" w:rsidRDefault="00181CDF" w:rsidP="00181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**При наличии.</w:t>
      </w:r>
    </w:p>
    <w:p w:rsidR="009C54FE" w:rsidRDefault="009C54FE" w:rsidP="00284D34">
      <w:pPr>
        <w:pStyle w:val="ConsPlusNonformat"/>
        <w:rPr>
          <w:rFonts w:ascii="Times New Roman" w:hAnsi="Times New Roman" w:cs="Times New Roman"/>
        </w:rPr>
        <w:sectPr w:rsidR="009C54FE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067D66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МЕТОДИКА РАСЧЕТА ЗНАЧЕНИЙ ПОКАЗАТЕЛЕЙ МУНИЦИПАЛЬНОЙ ПРОГРАММЫ</w:t>
      </w:r>
    </w:p>
    <w:p w:rsidR="00067D66" w:rsidRDefault="00067D66" w:rsidP="00067D6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ПОТРЕБИТЕЛЬСКОГО РЫНКА И УСЛУГ»</w:t>
      </w:r>
    </w:p>
    <w:p w:rsidR="00073081" w:rsidRPr="00073081" w:rsidRDefault="00073081" w:rsidP="00073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47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992"/>
        <w:gridCol w:w="9498"/>
      </w:tblGrid>
      <w:tr w:rsidR="003E53BF" w:rsidRPr="00073081" w:rsidTr="000B5726">
        <w:tc>
          <w:tcPr>
            <w:tcW w:w="568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Показатели, характеризующие реализацию подпрограммы</w:t>
            </w:r>
          </w:p>
        </w:tc>
        <w:tc>
          <w:tcPr>
            <w:tcW w:w="992" w:type="dxa"/>
            <w:shd w:val="clear" w:color="auto" w:fill="auto"/>
          </w:tcPr>
          <w:p w:rsidR="003E53BF" w:rsidRPr="000B5726" w:rsidRDefault="003E53BF" w:rsidP="0007308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72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3E53BF" w:rsidRPr="00C564C6" w:rsidRDefault="000B5726" w:rsidP="000B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4C6">
              <w:rPr>
                <w:rFonts w:ascii="Times New Roman" w:hAnsi="Times New Roman"/>
                <w:sz w:val="24"/>
                <w:szCs w:val="24"/>
              </w:rPr>
              <w:t>Методика расчёта показателя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/на 1000 жителей</w:t>
            </w:r>
          </w:p>
        </w:tc>
        <w:tc>
          <w:tcPr>
            <w:tcW w:w="9498" w:type="dxa"/>
            <w:shd w:val="clear" w:color="auto" w:fill="FFFFFF"/>
          </w:tcPr>
          <w:p w:rsidR="007A0119" w:rsidRPr="00275537" w:rsidRDefault="00275537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ru-RU"/>
                  </w:rPr>
                  <m:t>О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торг= 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vertAlign w:val="subscript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Sторг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vertAlign w:val="subscript"/>
                    <w:lang w:eastAsia="ru-RU"/>
                  </w:rPr>
                  <m:t xml:space="preserve"> </m:t>
                </m:r>
              </m:oMath>
            </m:oMathPara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081">
              <w:rPr>
                <w:rFonts w:ascii="Times New Roman" w:hAnsi="Times New Roman"/>
                <w:sz w:val="24"/>
                <w:szCs w:val="24"/>
              </w:rPr>
              <w:t>Оторг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обеспеченность населения площадью торговых объектов;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>торг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площадь торговых объектов предприятий розничной торговли на территории муниципального образования Московской области;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3081">
              <w:rPr>
                <w:rFonts w:ascii="Times New Roman" w:hAnsi="Times New Roman"/>
                <w:sz w:val="24"/>
                <w:szCs w:val="24"/>
              </w:rPr>
              <w:t>Чсред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– среднегодовая численность постоянного населения муниципального образования Московской области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Прирост посадочных мест на объектах общественного питания 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Прирост рабочих мест на объектах бытовых услуг 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как сумма прироста рабочих мест на предприятиях бытовых услуг  муниципального образования Московской области за отчетный год</w:t>
            </w:r>
          </w:p>
        </w:tc>
      </w:tr>
      <w:tr w:rsidR="003E53BF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shd w:val="clear" w:color="auto" w:fill="FFFFFF"/>
          </w:tcPr>
          <w:p w:rsidR="003E53BF" w:rsidRPr="00073081" w:rsidRDefault="003E53BF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Количество введенных банных объектов по прогр</w:t>
            </w:r>
            <w:r w:rsidR="00F45893">
              <w:rPr>
                <w:rFonts w:ascii="Times New Roman" w:hAnsi="Times New Roman"/>
                <w:sz w:val="24"/>
                <w:szCs w:val="24"/>
              </w:rPr>
              <w:t>амме «100 бань Подмосковья»</w:t>
            </w:r>
          </w:p>
        </w:tc>
        <w:tc>
          <w:tcPr>
            <w:tcW w:w="992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9498" w:type="dxa"/>
            <w:shd w:val="clear" w:color="auto" w:fill="FFFFFF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Количество построенных (</w:t>
            </w:r>
            <w:proofErr w:type="spellStart"/>
            <w:r w:rsidRPr="00073081">
              <w:rPr>
                <w:rFonts w:ascii="Times New Roman" w:hAnsi="Times New Roman"/>
                <w:sz w:val="24"/>
                <w:szCs w:val="24"/>
              </w:rPr>
              <w:t>отреконструированных</w:t>
            </w:r>
            <w:proofErr w:type="spellEnd"/>
            <w:r w:rsidRPr="00073081">
              <w:rPr>
                <w:rFonts w:ascii="Times New Roman" w:hAnsi="Times New Roman"/>
                <w:sz w:val="24"/>
                <w:szCs w:val="24"/>
              </w:rPr>
              <w:t>) банных объектов по программе «100 бань Подмосковья»</w:t>
            </w:r>
          </w:p>
        </w:tc>
      </w:tr>
      <w:tr w:rsidR="005340A2" w:rsidRPr="00073081" w:rsidTr="003E53BF">
        <w:trPr>
          <w:trHeight w:val="706"/>
        </w:trPr>
        <w:tc>
          <w:tcPr>
            <w:tcW w:w="568" w:type="dxa"/>
            <w:shd w:val="clear" w:color="auto" w:fill="FFFFFF"/>
          </w:tcPr>
          <w:p w:rsidR="005340A2" w:rsidRPr="00073081" w:rsidRDefault="005340A2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shd w:val="clear" w:color="auto" w:fill="FFFFFF"/>
          </w:tcPr>
          <w:p w:rsidR="005340A2" w:rsidRPr="005340A2" w:rsidRDefault="005340A2" w:rsidP="00534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4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40A2" w:rsidRPr="00073081" w:rsidRDefault="00634196" w:rsidP="0063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«Цивилизованная торговля»</w:t>
            </w:r>
          </w:p>
        </w:tc>
        <w:tc>
          <w:tcPr>
            <w:tcW w:w="992" w:type="dxa"/>
            <w:shd w:val="clear" w:color="auto" w:fill="FFFFFF"/>
          </w:tcPr>
          <w:p w:rsidR="005340A2" w:rsidRPr="00073081" w:rsidRDefault="005340A2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9498" w:type="dxa"/>
            <w:shd w:val="clear" w:color="auto" w:fill="FFFFFF"/>
          </w:tcPr>
          <w:p w:rsidR="005340A2" w:rsidRPr="005340A2" w:rsidRDefault="005340A2" w:rsidP="0053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 xml:space="preserve">Т = </w:t>
            </w: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× Кд + </w:t>
            </w: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5340A2" w:rsidRPr="005340A2" w:rsidRDefault="005340A2" w:rsidP="0053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/>
                <w:sz w:val="24"/>
                <w:szCs w:val="24"/>
              </w:rPr>
              <w:t>Т – показатель эффективности работы органов местного самоуправления по организации торговой деятельности, баллы;</w:t>
            </w:r>
          </w:p>
          <w:p w:rsidR="005340A2" w:rsidRPr="005340A2" w:rsidRDefault="005340A2" w:rsidP="0053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по размещению нестационарных торговых объектов, складывается из следующих значений:</w:t>
            </w:r>
          </w:p>
          <w:p w:rsidR="005340A2" w:rsidRDefault="005340A2" w:rsidP="0053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0A2"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  <w:proofErr w:type="gramStart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= А</w:t>
            </w:r>
            <w:proofErr w:type="gramEnd"/>
            <w:r w:rsidRPr="005340A2">
              <w:rPr>
                <w:rFonts w:ascii="Times New Roman" w:hAnsi="Times New Roman"/>
                <w:sz w:val="24"/>
                <w:szCs w:val="24"/>
              </w:rPr>
              <w:t xml:space="preserve"> + В + С + D + Е, где: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А – отсутствие нестационарных торговых объектов, несоответствующих утвержденному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архитектурному решению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внешнего облика нестационарных торговых объектов: 3,5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B –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законодательством Московской области: 1,5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C –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балл.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D – эффективное размещение нестационарных торговых объектов посредством проведения аукционов: 2,5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Е –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Кд – коэффициент эффективности работы органов местного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по демонтажу незаконно размещенных нестационарных торговых объектов, складывается из следующих значений: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Кд = F / G, где:</w:t>
            </w:r>
          </w:p>
          <w:p w:rsid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F – количество ликвидированных незаконно размещенных нестационарных торговых объектов, нарастающим итогом,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единиц;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G –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– оценка организации деятельности органов местного самоуправления при организации и проведении ярмарок, складывается из следующих значений: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Тя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= H – I + J, где: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H –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1. Своевременное, оформленное в соответствии с установленной формой, предоставление информации о планируемых ярмарках на территории муниципального образования для внесения в Реестр ярмарок: 2,5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2. 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2,5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3. Факт проведения ярморочных мероприятий на территории муниципального образования: 2,5 балла.</w:t>
            </w:r>
          </w:p>
          <w:p w:rsid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4. Предоставление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скан-копии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информации о наличии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 xml:space="preserve">свободных мест для проведения ярмарок, </w:t>
            </w:r>
            <w:proofErr w:type="gramStart"/>
            <w:r w:rsidRPr="00A16290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proofErr w:type="gram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на сайте муниципального образования:2,5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I –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1.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2. 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3. Организация и проведение ярмарки в местах, не включенных в Сводный перечень мест проведения ярмарок: 5 баллов.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4. Повторные организация и проведение ярмарки в местах, не включенных в Сводный перечень мест проведения ярмарок: 10 баллов.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5. Нарушение сроков проведения ярмарки, установленных законодательством: 4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6. 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вывески с указанием информации об организаторе ярмарки, его наименовании, месте его нахождения, режиме работы ярмарки: 0,5 балла;</w:t>
            </w:r>
          </w:p>
          <w:p w:rsid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информационного стенда: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наличие в месте проведения ярмарки заглубленных конструкций, размещение ярмарочных конструкций на газонах: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у участников ярмарки специальной одежды единого образца:0,5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нумерации торговых мест согласно схеме размещения торговых мест на ярмарке: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на месте проведения ярмарки контейнеров для сбора мусора и биологических отходов, биотуалетов: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не приведение в надлежащее санитарное состояние места проведения ярмарки по ее окончании: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торговля товарами, запрещенными к реализации на ярмарках: 0,5 балла.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0">
              <w:rPr>
                <w:rFonts w:ascii="Times New Roman" w:hAnsi="Times New Roman"/>
                <w:sz w:val="24"/>
                <w:szCs w:val="24"/>
              </w:rPr>
              <w:t>J –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      </w:r>
          </w:p>
          <w:p w:rsidR="00A16290" w:rsidRPr="00A16290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если в отчетном месяце 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&lt; 5 и (или) H-I &lt; 7,5, то максимальное значение расчетного показателя J составляет не более 4 баллов;</w:t>
            </w:r>
          </w:p>
          <w:p w:rsidR="00A16290" w:rsidRPr="00073081" w:rsidRDefault="00A16290" w:rsidP="00A16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290">
              <w:rPr>
                <w:rFonts w:ascii="Times New Roman" w:hAnsi="Times New Roman"/>
                <w:sz w:val="24"/>
                <w:szCs w:val="24"/>
              </w:rPr>
              <w:t xml:space="preserve"> если в отчетном месяце 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≥ 5 и H-I ≥ 7,5, то максимальное значение расчетного показателя J рассчитывается по формуле (</w:t>
            </w:r>
            <w:proofErr w:type="spellStart"/>
            <w:r w:rsidRPr="00A16290">
              <w:rPr>
                <w:rFonts w:ascii="Times New Roman" w:hAnsi="Times New Roman"/>
                <w:sz w:val="24"/>
                <w:szCs w:val="24"/>
              </w:rPr>
              <w:t>Тн×Кд</w:t>
            </w:r>
            <w:proofErr w:type="spellEnd"/>
            <w:r w:rsidRPr="00A16290">
              <w:rPr>
                <w:rFonts w:ascii="Times New Roman" w:hAnsi="Times New Roman"/>
                <w:sz w:val="24"/>
                <w:szCs w:val="24"/>
              </w:rPr>
              <w:t xml:space="preserve"> + H - I) / 2.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auto"/>
          </w:tcPr>
          <w:p w:rsidR="003E53BF" w:rsidRPr="00073081" w:rsidRDefault="005340A2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340A2">
              <w:rPr>
                <w:rFonts w:ascii="Times New Roman" w:hAnsi="Times New Roman"/>
                <w:sz w:val="24"/>
                <w:szCs w:val="24"/>
              </w:rPr>
              <w:t>6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</w:t>
            </w:r>
            <w:r w:rsidRPr="00073081">
              <w:rPr>
                <w:rFonts w:ascii="Times New Roman" w:hAnsi="Times New Roman"/>
                <w:sz w:val="24"/>
                <w:szCs w:val="24"/>
              </w:rPr>
              <w:br/>
              <w:t xml:space="preserve"> 1 муниципальный район/городской округ – </w:t>
            </w:r>
            <w:r w:rsidRPr="00073081">
              <w:rPr>
                <w:rFonts w:ascii="Times New Roman" w:hAnsi="Times New Roman"/>
                <w:sz w:val="24"/>
                <w:szCs w:val="24"/>
              </w:rPr>
              <w:br/>
              <w:t>1 муниципальное казенное учреждение</w:t>
            </w:r>
          </w:p>
        </w:tc>
        <w:tc>
          <w:tcPr>
            <w:tcW w:w="992" w:type="dxa"/>
            <w:shd w:val="clear" w:color="auto" w:fill="auto"/>
          </w:tcPr>
          <w:p w:rsidR="003E53BF" w:rsidRPr="00073081" w:rsidRDefault="003E53BF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3E53BF" w:rsidRPr="00275537" w:rsidRDefault="00275537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М</m:t>
                </m:r>
                <m:r>
                  <w:rPr>
                    <w:rFonts w:ascii="Cambria Math" w:eastAsia="Times New Roman" w:hAnsi="Cambria Math" w:cs="Cambria Math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Cambria Math"/>
                        <w:sz w:val="24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ru-RU"/>
                  </w:rPr>
                  <m:t xml:space="preserve"> х 100%</m:t>
                </m:r>
              </m:oMath>
            </m:oMathPara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73081">
              <w:rPr>
                <w:rFonts w:ascii="Times New Roman" w:hAnsi="Times New Roman"/>
                <w:i/>
                <w:sz w:val="24"/>
                <w:szCs w:val="24"/>
              </w:rPr>
              <w:t>М-</w:t>
            </w:r>
            <w:proofErr w:type="gramEnd"/>
            <w:r w:rsidRPr="0007308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Наличие на территории муниципального района/ городского округа Московской области муниципального казенного учреждения в сфере погребения и похоронного дела по принципу 1 муниципальный район/городской округ – 1 муниципальное казенное учреждение, процент;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</w:t>
            </w:r>
            <w:r w:rsidRPr="00073081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proofErr w:type="gramStart"/>
            <w:r w:rsidRPr="00073081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gramEnd"/>
            <w:r w:rsidRPr="00073081">
              <w:rPr>
                <w:rFonts w:ascii="Times New Roman" w:hAnsi="Times New Roman"/>
                <w:sz w:val="24"/>
                <w:szCs w:val="24"/>
              </w:rPr>
              <w:t xml:space="preserve"> количество муниципальных казенных учреждений в сфере погребения и похоронного дела на территории муниципального района/городского округа, ед.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>(*для муниципальных образований, не имеющих на своей территории кладбищ, учитывается количество муниципальных казенных учреждений, осуществляющих деятельность на территории других муниципальных образований, на которых в соответствии с заключенными между администрациями  соглашениями осуществляются захоронения умерших жителей).</w:t>
            </w:r>
          </w:p>
        </w:tc>
      </w:tr>
      <w:tr w:rsidR="003E53BF" w:rsidRPr="00073081" w:rsidTr="003E53BF">
        <w:tc>
          <w:tcPr>
            <w:tcW w:w="568" w:type="dxa"/>
            <w:shd w:val="clear" w:color="auto" w:fill="auto"/>
          </w:tcPr>
          <w:p w:rsidR="003E53BF" w:rsidRPr="00073081" w:rsidRDefault="005340A2" w:rsidP="0007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E53BF"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3081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340A2">
              <w:rPr>
                <w:rFonts w:ascii="Times New Roman" w:hAnsi="Times New Roman"/>
                <w:sz w:val="24"/>
                <w:szCs w:val="24"/>
              </w:rPr>
              <w:t>7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53BF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Чистое кладбище </w:t>
            </w:r>
          </w:p>
          <w:p w:rsidR="003E53BF" w:rsidRPr="00073081" w:rsidRDefault="003E53BF" w:rsidP="00073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73081">
              <w:rPr>
                <w:rFonts w:ascii="Times New Roman" w:hAnsi="Times New Roman"/>
                <w:sz w:val="24"/>
                <w:szCs w:val="24"/>
              </w:rPr>
              <w:t>Доля кладбищ, соответствующих требованиям Порядка деятельности общественных кладбищ и крематориев, на территории муниципального образования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E53BF" w:rsidRPr="00073081" w:rsidRDefault="003E53BF" w:rsidP="00073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3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9498" w:type="dxa"/>
            <w:shd w:val="clear" w:color="auto" w:fill="auto"/>
          </w:tcPr>
          <w:p w:rsidR="003E53BF" w:rsidRPr="000B5726" w:rsidRDefault="00275537" w:rsidP="00275537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Cambria Math"/>
                  <w:sz w:val="24"/>
                  <w:szCs w:val="24"/>
                  <w:lang w:val="en-US" w:eastAsia="ru-RU"/>
                </w:rPr>
                <m:t>S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(F1+F2)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ru-RU"/>
                    </w:rPr>
                    <m:t>K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ru-RU"/>
                </w:rPr>
                <m:t xml:space="preserve">× </m:t>
              </m:r>
              <m:f>
                <m:fPr>
                  <m:ctrlP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ru-RU"/>
                    </w:rPr>
                    <m:t>T</m:t>
                  </m:r>
                </m:den>
              </m:f>
            </m:oMath>
            <w:r w:rsidRPr="002755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× 100%</w:t>
            </w:r>
          </w:p>
          <w:tbl>
            <w:tblPr>
              <w:tblW w:w="9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61"/>
            </w:tblGrid>
            <w:tr w:rsidR="003E53BF" w:rsidRPr="003E53BF" w:rsidTr="00CD219E">
              <w:trPr>
                <w:trHeight w:val="1613"/>
              </w:trPr>
              <w:tc>
                <w:tcPr>
                  <w:tcW w:w="9861" w:type="dxa"/>
                </w:tcPr>
                <w:p w:rsidR="003E53BF" w:rsidRPr="003E53BF" w:rsidRDefault="003E53BF" w:rsidP="00CD21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8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B572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S</w:t>
                  </w:r>
                  <w:r w:rsidRPr="000B5726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E53BF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доля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 (далее – Порядок), процент; </w:t>
                  </w:r>
                  <w:r w:rsidRPr="003E53BF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(*для муниципальных образований, не имеющих кладбищ на своей территории, рассматривается соответствие требованиям Порядка кладбищ других муниципальных образований, на которых в соответствии с заключенными между администрациями соглашениями осуществляются захоронения умерших жителей) </w:t>
                  </w:r>
                </w:p>
              </w:tc>
            </w:tr>
          </w:tbl>
          <w:p w:rsidR="003E53BF" w:rsidRPr="000B5726" w:rsidRDefault="003E53BF" w:rsidP="003E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26">
              <w:rPr>
                <w:rFonts w:ascii="Times New Roman" w:hAnsi="Times New Roman"/>
                <w:sz w:val="24"/>
                <w:szCs w:val="24"/>
              </w:rPr>
              <w:t>F1 - количество кладбищ, юридически оформленных в муниципальную собственность, ед.;</w:t>
            </w:r>
          </w:p>
          <w:p w:rsidR="003E53BF" w:rsidRPr="003B422A" w:rsidRDefault="003E53BF" w:rsidP="003E53BF">
            <w:pPr>
              <w:pStyle w:val="Default"/>
            </w:pPr>
            <w:r w:rsidRPr="000B5726">
              <w:t xml:space="preserve">Значение величины F1 формируется исходя из количества представленных в Министерство потребительского рынка и услуг Московской области документов, подтверждающих факт оформления каждого кладбища, расположенного на территории муниципального района/городского округа, в муниципальную собственность. </w:t>
            </w:r>
          </w:p>
          <w:p w:rsidR="003E53BF" w:rsidRPr="003B422A" w:rsidRDefault="003E53BF" w:rsidP="003E53BF">
            <w:pPr>
              <w:pStyle w:val="Default"/>
            </w:pPr>
          </w:p>
          <w:p w:rsidR="00CD219E" w:rsidRPr="000B5726" w:rsidRDefault="00CD219E" w:rsidP="00CD2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726">
              <w:rPr>
                <w:rFonts w:ascii="Times New Roman" w:hAnsi="Times New Roman"/>
                <w:sz w:val="24"/>
                <w:szCs w:val="24"/>
              </w:rPr>
              <w:t xml:space="preserve"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</w:t>
            </w:r>
            <w:proofErr w:type="gramStart"/>
            <w:r w:rsidRPr="000B5726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0B5726">
              <w:rPr>
                <w:rFonts w:ascii="Times New Roman" w:hAnsi="Times New Roman"/>
                <w:sz w:val="24"/>
                <w:szCs w:val="24"/>
              </w:rPr>
              <w:t xml:space="preserve">ВК), ед.;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Значение величины F2 формируется на основании протоколов заседаний Московской областной межведомственной комиссии по вопросам погребения и похоронного дела на территории Московской области (далее </w:t>
            </w:r>
            <w:proofErr w:type="gramStart"/>
            <w:r w:rsidRPr="000B5726">
              <w:t>–М</w:t>
            </w:r>
            <w:proofErr w:type="gramEnd"/>
            <w:r w:rsidRPr="000B5726">
              <w:t xml:space="preserve">ВК), подготовленных по результатам рассмотрения вопроса соответствия кладбищ муниципального района/городского округа требованиям Порядка.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Соответствие кладбищ на МВК оценивается по следующим параметрам: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подъездной дороги к кладбищу с твердым покрытием (пункт 20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>-наличие ограждения/</w:t>
            </w:r>
            <w:proofErr w:type="spellStart"/>
            <w:r w:rsidRPr="000B5726">
              <w:t>обваловки</w:t>
            </w:r>
            <w:proofErr w:type="spellEnd"/>
            <w:r w:rsidRPr="000B5726">
              <w:t xml:space="preserve"> кладбища по периметру (пункты 15,16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вывески с указанием наименования кладбища и режима его работы (пункт 20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входной зоны (пункт 20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во входной зоне схематичного плана кладбища с обозначением функциональных зон, административных зданий; строений, сооружений, а также кварталов и секторов в зоне захоронения, исторических и мемориальных могил и памятников, мест общего пользования, дорог (пункт 20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во входной зоне кладбища справочно-информационного стенда, содержащего информацию, установленную пунктом 20 Порядка;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урн для мусора в количестве согласно нормативу, установленному пунктом 14 Порядка;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площадки для мусоросборников, соответствующей требованиям пункта 20 Порядка и статьи 15 Закона Московской области № 191/2014-ОЗ «О благоустройстве в Московской области»;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мусоросборников в количестве согласно нормативу, установленному пунктом 14 Порядка;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-своевременный вывоз мусора </w:t>
            </w:r>
            <w:proofErr w:type="gramStart"/>
            <w:r w:rsidRPr="000B5726">
              <w:t>согласно</w:t>
            </w:r>
            <w:proofErr w:type="gramEnd"/>
            <w:r w:rsidRPr="000B5726">
              <w:t xml:space="preserve"> установленного графика, который размещается на контейнерной площадке (статья 15 Закона Московской области № 191/2014-ОЗ «О благоустройстве в Московской области»);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навигации в зоне захоронения кладбища (пункт 18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наружного освещения на кладбище (пункт 18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на кладбище или на территории, прилегающей к кладбищу, стоянки для автотранспортных средств, в том числе автокатафалков (пункт 13 Прядка);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на кладбище доступной среды для инвалидов (стоянка для автотранспортных средств инвалидов) (пункт 13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емкостей с песком для благоустройства мест захоронения в количестве согласно нормативу, установленному пунктом 14 Порядка;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-наличие пункта проката инвентаря (пункты 21, 22 Порядка);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-своевременное выкашивание и уборка травы на кладбище, уборка снега (пункт 66 Порядка, статьи 51, 63 Закона Московской области № 191/2014-ОЗ «О благоустройстве в Московской области»).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При наличии на кладбище хотя бы 1 несоответствия перечисленным требованиям Порядка кладбищ  несоответствующим требованиям Порядка.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Повторное рассмотрение кладбищ муниципальных районов/городских округов Московской области осуществляется в течение месяца со дня поступления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 </w:t>
            </w:r>
          </w:p>
          <w:p w:rsidR="00CD219E" w:rsidRPr="000B5726" w:rsidRDefault="00CD219E" w:rsidP="00CD219E">
            <w:pPr>
              <w:pStyle w:val="Default"/>
            </w:pPr>
            <w:proofErr w:type="gramStart"/>
            <w:r w:rsidRPr="000B5726">
              <w:t>К</w:t>
            </w:r>
            <w:proofErr w:type="gramEnd"/>
            <w:r w:rsidRPr="000B5726">
              <w:t xml:space="preserve"> </w:t>
            </w:r>
            <w:r w:rsidRPr="000B5726">
              <w:rPr>
                <w:b/>
                <w:bCs/>
              </w:rPr>
              <w:t xml:space="preserve">– </w:t>
            </w:r>
            <w:r w:rsidRPr="000B5726">
              <w:t>коэффициент, отражающий число используемых в расчете показателя параметров (величин). С 01.02.2018 коэффициент</w:t>
            </w:r>
            <w:proofErr w:type="gramStart"/>
            <w:r w:rsidRPr="000B5726">
              <w:t xml:space="preserve"> К</w:t>
            </w:r>
            <w:proofErr w:type="gramEnd"/>
            <w:r w:rsidRPr="000B5726">
              <w:t xml:space="preserve"> равен 2 для всех ОМСУ МО; </w:t>
            </w:r>
          </w:p>
          <w:p w:rsidR="00CD219E" w:rsidRPr="000B5726" w:rsidRDefault="00CD219E" w:rsidP="00CD219E">
            <w:pPr>
              <w:pStyle w:val="Default"/>
            </w:pPr>
            <w:r w:rsidRPr="000B5726">
              <w:t xml:space="preserve">T – общее количество кладбищ на территории муниципального образования, ед. </w:t>
            </w:r>
          </w:p>
          <w:p w:rsidR="003E53BF" w:rsidRPr="000B5726" w:rsidRDefault="00CD219E" w:rsidP="00CD219E">
            <w:pPr>
              <w:pStyle w:val="Default"/>
            </w:pPr>
            <w:r w:rsidRPr="000B5726">
              <w:rPr>
                <w:i/>
                <w:iCs/>
              </w:rPr>
              <w:t xml:space="preserve">(*для муниципальных образований, не имеющих кладбищ на своей территории, учитывается количество кладбищ, на которых в соответствии с заключенными Соглашениями осуществляются захоронения умерших жителей) </w:t>
            </w:r>
          </w:p>
        </w:tc>
      </w:tr>
    </w:tbl>
    <w:p w:rsidR="00073081" w:rsidRDefault="00073081" w:rsidP="00073081">
      <w:pPr>
        <w:rPr>
          <w:rFonts w:eastAsia="Times New Roman"/>
          <w:sz w:val="24"/>
          <w:szCs w:val="24"/>
          <w:lang w:eastAsia="ru-RU"/>
        </w:rPr>
        <w:sectPr w:rsidR="00073081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ответственного за выполнение мероприятия </w:t>
      </w:r>
      <w:r w:rsidRPr="00067D66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муниципальной программы</w:t>
      </w:r>
    </w:p>
    <w:p w:rsidR="00067D66" w:rsidRPr="00067D66" w:rsidRDefault="00067D66" w:rsidP="00067D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D66">
        <w:rPr>
          <w:rFonts w:ascii="Times New Roman" w:hAnsi="Times New Roman"/>
          <w:b/>
          <w:i/>
          <w:sz w:val="28"/>
          <w:szCs w:val="28"/>
        </w:rPr>
        <w:t>Ответственный</w:t>
      </w:r>
      <w:proofErr w:type="gramEnd"/>
      <w:r w:rsidRPr="00067D66">
        <w:rPr>
          <w:rFonts w:ascii="Times New Roman" w:hAnsi="Times New Roman"/>
          <w:b/>
          <w:i/>
          <w:sz w:val="28"/>
          <w:szCs w:val="28"/>
        </w:rPr>
        <w:t xml:space="preserve"> за выполнение мероприятия программы</w:t>
      </w:r>
      <w:r w:rsidRPr="00067D66">
        <w:rPr>
          <w:rFonts w:ascii="Times New Roman" w:hAnsi="Times New Roman"/>
          <w:sz w:val="28"/>
          <w:szCs w:val="28"/>
        </w:rPr>
        <w:t>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1) формирует прогноз расходов на реализацию мероприятия муниципальной программы и направляет его заказчику муниципальной программы/подпрограммы;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4) готовит и своевременно представляет заказчику муниципальной 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капитального ремонта.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187"/>
      <w:bookmarkEnd w:id="3"/>
      <w:r w:rsidRPr="00067D66">
        <w:rPr>
          <w:rFonts w:ascii="Times New Roman" w:hAnsi="Times New Roman"/>
          <w:b/>
          <w:i/>
          <w:sz w:val="28"/>
          <w:szCs w:val="28"/>
        </w:rPr>
        <w:t>Заказчик муниципальной программы</w:t>
      </w:r>
      <w:r w:rsidRPr="00067D66">
        <w:rPr>
          <w:rFonts w:ascii="Times New Roman" w:hAnsi="Times New Roman"/>
          <w:sz w:val="28"/>
          <w:szCs w:val="28"/>
        </w:rPr>
        <w:t xml:space="preserve"> осуществляет координацию деятельности заказчиков программ по подготовке и реализации программных мероприятий, анализу и рациональному использованию средств бюджета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067D66">
        <w:rPr>
          <w:rFonts w:ascii="Times New Roman" w:hAnsi="Times New Roman"/>
          <w:sz w:val="28"/>
          <w:szCs w:val="28"/>
        </w:rPr>
        <w:t xml:space="preserve"> и иных привлекаемых для реализации муниципальной программы источников.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 xml:space="preserve">Заказчик муниципальной программы несет ответственность за подготовку и реализацию программы, а также обеспечение </w:t>
      </w:r>
      <w:proofErr w:type="gramStart"/>
      <w:r w:rsidRPr="00067D66">
        <w:rPr>
          <w:rFonts w:ascii="Times New Roman" w:hAnsi="Times New Roman"/>
          <w:sz w:val="28"/>
          <w:szCs w:val="28"/>
        </w:rPr>
        <w:t>достижения показателей реализации мероприятий муниципальной программы</w:t>
      </w:r>
      <w:proofErr w:type="gramEnd"/>
      <w:r w:rsidRPr="00067D66">
        <w:rPr>
          <w:rFonts w:ascii="Times New Roman" w:hAnsi="Times New Roman"/>
          <w:sz w:val="28"/>
          <w:szCs w:val="28"/>
        </w:rPr>
        <w:t xml:space="preserve"> в целом.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7D66">
        <w:rPr>
          <w:rFonts w:ascii="Times New Roman" w:hAnsi="Times New Roman"/>
          <w:sz w:val="28"/>
          <w:szCs w:val="28"/>
        </w:rPr>
        <w:t xml:space="preserve">Реализация основных мероприятий муниципальной программы осуществляется в соответствии с "Дорожными картами", сформированными по </w:t>
      </w:r>
      <w:hyperlink w:anchor="P1412" w:history="1">
        <w:r w:rsidRPr="00067D66">
          <w:rPr>
            <w:rFonts w:ascii="Times New Roman" w:hAnsi="Times New Roman"/>
            <w:sz w:val="28"/>
            <w:szCs w:val="28"/>
          </w:rPr>
          <w:t>форме</w:t>
        </w:r>
      </w:hyperlink>
      <w:r w:rsidRPr="00067D66">
        <w:rPr>
          <w:rFonts w:ascii="Times New Roman" w:hAnsi="Times New Roman"/>
          <w:sz w:val="28"/>
          <w:szCs w:val="28"/>
        </w:rPr>
        <w:t xml:space="preserve"> согласно приложению № 8 к 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Порядку разработки, реализации и оценки эффективности муниципальных программ городского округа Красногорск, утвержденного постановлением администрации го</w:t>
      </w:r>
      <w:r w:rsidR="00FD29BF">
        <w:rPr>
          <w:rFonts w:ascii="Times New Roman" w:eastAsia="Times New Roman" w:hAnsi="Times New Roman" w:cs="Arial"/>
          <w:sz w:val="28"/>
          <w:szCs w:val="28"/>
          <w:lang w:eastAsia="ru-RU"/>
        </w:rPr>
        <w:t>родского округа Красногорск от 26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FD29BF">
        <w:rPr>
          <w:rFonts w:ascii="Times New Roman" w:eastAsia="Times New Roman" w:hAnsi="Times New Roman" w:cs="Arial"/>
          <w:sz w:val="28"/>
          <w:szCs w:val="28"/>
          <w:lang w:eastAsia="ru-RU"/>
        </w:rPr>
        <w:t>12.2017 № 3084/12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</w:t>
      </w:r>
      <w:r w:rsidRPr="00067D66">
        <w:rPr>
          <w:rFonts w:ascii="Times New Roman" w:hAnsi="Times New Roman"/>
          <w:sz w:val="28"/>
          <w:szCs w:val="28"/>
        </w:rPr>
        <w:t>.</w:t>
      </w:r>
      <w:proofErr w:type="gramEnd"/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"Дорожные карты" и изменения, вносимые в них, разрабатываются заказчиком муниципальной программы и (или) ответственным за выполнение мероприятий по согласованию с заказчиком муниципальной программы и утверждаются координатором муниципальной программы.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"Дорожная карта" разрабатывается по основным мероприятиям программы/подпрограммы сроком на один год.</w:t>
      </w:r>
    </w:p>
    <w:p w:rsid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7D66">
        <w:rPr>
          <w:rFonts w:ascii="Times New Roman" w:hAnsi="Times New Roman"/>
          <w:sz w:val="28"/>
          <w:szCs w:val="28"/>
        </w:rPr>
        <w:t>Все "Дорожные карты" при реализации основных мероприятий согласовываются с управлением по инвестициям и развитию предпринимательства, финансовым управлением администрации городского округа Красногорск.</w:t>
      </w:r>
    </w:p>
    <w:p w:rsidR="00F45893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5893" w:rsidRPr="00067D66" w:rsidRDefault="00F45893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7D66" w:rsidRPr="00067D66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067D6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Состав, форма и сроки представления отчетности о ходе реализации мероприятий муниципальной программы</w:t>
      </w:r>
    </w:p>
    <w:p w:rsidR="00067D66" w:rsidRPr="00067D66" w:rsidRDefault="00067D66" w:rsidP="00067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контроля, за реализацией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программы заказчик ежеквартально до 15 числа месяца, следующего за отчетным кварталом, формирует в подсистеме,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1) оперативный отчет о реализации мероприятий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 форме согласно </w:t>
      </w:r>
      <w:hyperlink w:anchor="P1451" w:history="1">
        <w:r w:rsidRPr="00067D6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приложениям </w:t>
        </w:r>
      </w:hyperlink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26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.2017 № </w:t>
      </w:r>
      <w:r w:rsidR="00DE2038">
        <w:rPr>
          <w:rFonts w:ascii="Times New Roman" w:eastAsia="Times New Roman" w:hAnsi="Times New Roman" w:cs="Arial"/>
          <w:sz w:val="28"/>
          <w:szCs w:val="28"/>
          <w:lang w:eastAsia="ru-RU"/>
        </w:rPr>
        <w:t>3084/12</w:t>
      </w:r>
      <w:r w:rsidRPr="00067D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администрации городского округа Красногорск» (далее – Порядку)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, который содержит:</w:t>
      </w:r>
      <w:proofErr w:type="gramEnd"/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выполненных мероприятий </w:t>
      </w:r>
      <w:r w:rsidRPr="00067D66">
        <w:rPr>
          <w:rFonts w:ascii="Times New Roman" w:hAnsi="Times New Roman"/>
          <w:sz w:val="28"/>
          <w:szCs w:val="28"/>
        </w:rPr>
        <w:t>муниципальной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- анализ причин несвоевременного выполнения программных мероприятий;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2) оперативный (годовой) </w:t>
      </w:r>
      <w:hyperlink w:anchor="P1662" w:history="1">
        <w:r w:rsidRPr="00067D66">
          <w:rPr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выполнении </w:t>
      </w:r>
      <w:r w:rsidRPr="00067D66">
        <w:rPr>
          <w:rFonts w:ascii="Times New Roman" w:hAnsi="Times New Roman"/>
          <w:sz w:val="28"/>
          <w:szCs w:val="28"/>
        </w:rPr>
        <w:t xml:space="preserve">муниципальной </w:t>
      </w: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программы по объектам строительства (в случае наличия Адресного перечня объектов), реконструкции и капитального ремонта по форме согласно приложению № 11 к Порядку, который содержит: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объекта, адрес объекта, планируемые работы;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067D66" w:rsidRPr="00067D66" w:rsidRDefault="00067D66" w:rsidP="00067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анализ причин невыполнения (несвоевременного выполнения) работ.</w:t>
      </w:r>
    </w:p>
    <w:p w:rsidR="00067D66" w:rsidRPr="00067D66" w:rsidRDefault="00067D66" w:rsidP="00067D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67D66">
        <w:rPr>
          <w:rFonts w:ascii="Times New Roman" w:eastAsia="Times New Roman" w:hAnsi="Times New Roman"/>
          <w:sz w:val="28"/>
          <w:szCs w:val="28"/>
          <w:lang w:eastAsia="ru-RU"/>
        </w:rPr>
        <w:t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городского округа Красногорск.</w:t>
      </w:r>
      <w:proofErr w:type="gramEnd"/>
    </w:p>
    <w:p w:rsidR="00E909C7" w:rsidRDefault="00E909C7" w:rsidP="00DE203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E2038" w:rsidRDefault="00DE2038" w:rsidP="00DE2038">
      <w:pPr>
        <w:spacing w:after="0" w:line="240" w:lineRule="auto"/>
        <w:ind w:firstLine="567"/>
        <w:jc w:val="both"/>
        <w:rPr>
          <w:rFonts w:ascii="Times New Roman" w:hAnsi="Times New Roman"/>
        </w:rPr>
        <w:sectPr w:rsidR="00DE2038" w:rsidSect="00716ECE">
          <w:pgSz w:w="16838" w:h="11906" w:orient="landscape" w:code="9"/>
          <w:pgMar w:top="567" w:right="678" w:bottom="568" w:left="1134" w:header="0" w:footer="284" w:gutter="0"/>
          <w:cols w:space="708"/>
          <w:docGrid w:linePitch="360"/>
        </w:sectPr>
      </w:pPr>
    </w:p>
    <w:p w:rsidR="00D45849" w:rsidRPr="00E909C7" w:rsidRDefault="00D45849" w:rsidP="00D45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9C7">
        <w:rPr>
          <w:rFonts w:ascii="Times New Roman" w:hAnsi="Times New Roman"/>
          <w:b/>
          <w:sz w:val="28"/>
          <w:szCs w:val="28"/>
        </w:rPr>
        <w:t>Перечень меропр</w:t>
      </w:r>
      <w:r w:rsidR="007C0253">
        <w:rPr>
          <w:rFonts w:ascii="Times New Roman" w:hAnsi="Times New Roman"/>
          <w:b/>
          <w:sz w:val="28"/>
          <w:szCs w:val="28"/>
        </w:rPr>
        <w:t xml:space="preserve">иятий </w:t>
      </w:r>
      <w:r w:rsidRPr="00E909C7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:rsidR="00E909C7" w:rsidRPr="000F0190" w:rsidRDefault="00E909C7" w:rsidP="00E90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«Развитие потребительского рынка и услуг»</w:t>
      </w:r>
    </w:p>
    <w:p w:rsidR="00E909C7" w:rsidRPr="000F0190" w:rsidRDefault="00E909C7" w:rsidP="00E909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0190">
        <w:rPr>
          <w:rFonts w:ascii="Times New Roman" w:eastAsia="Times New Roman" w:hAnsi="Times New Roman"/>
          <w:b/>
          <w:sz w:val="28"/>
          <w:szCs w:val="28"/>
          <w:lang w:eastAsia="ru-RU"/>
        </w:rPr>
        <w:t>на 2017-2021 годы</w:t>
      </w:r>
    </w:p>
    <w:p w:rsidR="00E909C7" w:rsidRDefault="00E909C7" w:rsidP="00E90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276"/>
        <w:gridCol w:w="1135"/>
        <w:gridCol w:w="1133"/>
        <w:gridCol w:w="993"/>
        <w:gridCol w:w="992"/>
        <w:gridCol w:w="1135"/>
        <w:gridCol w:w="1134"/>
        <w:gridCol w:w="1134"/>
        <w:gridCol w:w="1417"/>
        <w:gridCol w:w="1963"/>
      </w:tblGrid>
      <w:tr w:rsidR="00CD4C25" w:rsidRPr="00D45849" w:rsidTr="00F44382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№ </w:t>
            </w:r>
            <w:proofErr w:type="gramStart"/>
            <w:r w:rsidRPr="00706F3E">
              <w:rPr>
                <w:rFonts w:ascii="Times New Roman" w:hAnsi="Times New Roman"/>
              </w:rPr>
              <w:t>п</w:t>
            </w:r>
            <w:proofErr w:type="gramEnd"/>
            <w:r w:rsidRPr="00706F3E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Мероприятия программы/ подпрограммы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706F3E">
              <w:rPr>
                <w:rFonts w:ascii="Times New Roman" w:hAnsi="Times New Roman"/>
              </w:rPr>
              <w:t>мун</w:t>
            </w:r>
            <w:proofErr w:type="spellEnd"/>
            <w:r w:rsidRPr="00706F3E">
              <w:rPr>
                <w:rFonts w:ascii="Times New Roman" w:hAnsi="Times New Roman"/>
              </w:rPr>
              <w:t>. программы (тыс. руб.)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CD4C25" w:rsidRPr="00706F3E" w:rsidRDefault="00CD4C25" w:rsidP="00284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388" w:type="dxa"/>
            <w:gridSpan w:val="5"/>
            <w:shd w:val="clear" w:color="auto" w:fill="auto"/>
          </w:tcPr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Объем финансирования по годам, (тыс. руб.)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A0F3F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06F3E">
              <w:rPr>
                <w:rFonts w:ascii="Times New Roman" w:hAnsi="Times New Roman"/>
              </w:rPr>
              <w:t>Ответственный</w:t>
            </w:r>
            <w:proofErr w:type="gramEnd"/>
            <w:r w:rsidRPr="00706F3E">
              <w:rPr>
                <w:rFonts w:ascii="Times New Roman" w:hAnsi="Times New Roman"/>
              </w:rPr>
              <w:t xml:space="preserve"> за</w:t>
            </w:r>
            <w:r w:rsidR="004201AF">
              <w:rPr>
                <w:rFonts w:ascii="Times New Roman" w:hAnsi="Times New Roman"/>
              </w:rPr>
              <w:t xml:space="preserve"> </w:t>
            </w:r>
            <w:r w:rsidRPr="00706F3E">
              <w:rPr>
                <w:rFonts w:ascii="Times New Roman" w:hAnsi="Times New Roman"/>
              </w:rPr>
              <w:t>выполне</w:t>
            </w:r>
            <w:r w:rsidR="00482EFE" w:rsidRPr="00706F3E">
              <w:rPr>
                <w:rFonts w:ascii="Times New Roman" w:hAnsi="Times New Roman"/>
              </w:rPr>
              <w:t>ние</w:t>
            </w:r>
          </w:p>
          <w:p w:rsidR="00CD4C25" w:rsidRPr="00706F3E" w:rsidRDefault="00CD4C25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меропри</w:t>
            </w:r>
            <w:r w:rsidR="00375C32">
              <w:rPr>
                <w:rFonts w:ascii="Times New Roman" w:hAnsi="Times New Roman"/>
              </w:rPr>
              <w:t>я</w:t>
            </w:r>
            <w:r w:rsidR="006A0F3F">
              <w:rPr>
                <w:rFonts w:ascii="Times New Roman" w:hAnsi="Times New Roman"/>
              </w:rPr>
              <w:t>тия программы/</w:t>
            </w:r>
            <w:r w:rsidRPr="00706F3E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963" w:type="dxa"/>
            <w:vMerge w:val="restart"/>
            <w:shd w:val="clear" w:color="auto" w:fill="auto"/>
            <w:hideMark/>
          </w:tcPr>
          <w:p w:rsidR="00482EF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Результаты выполнения мероприятия программы/</w:t>
            </w:r>
          </w:p>
          <w:p w:rsidR="00CD4C25" w:rsidRPr="00706F3E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подпрограммы</w:t>
            </w:r>
          </w:p>
        </w:tc>
      </w:tr>
      <w:tr w:rsidR="00990502" w:rsidRPr="00D45849" w:rsidTr="00F44382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99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81" w:hanging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57" w:hanging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90502" w:rsidRPr="007D1D82" w:rsidRDefault="00990502" w:rsidP="00E909C7">
            <w:pPr>
              <w:suppressAutoHyphens/>
              <w:autoSpaceDE w:val="0"/>
              <w:autoSpaceDN w:val="0"/>
              <w:adjustRightInd w:val="0"/>
              <w:ind w:left="-30"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990502" w:rsidRPr="007D1D82" w:rsidRDefault="00990502" w:rsidP="00A865F3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D82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7D1D82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  <w:hideMark/>
          </w:tcPr>
          <w:p w:rsidR="00990502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C25" w:rsidRPr="00D45849" w:rsidTr="00F44382">
        <w:trPr>
          <w:trHeight w:val="338"/>
          <w:tblHeader/>
        </w:trPr>
        <w:tc>
          <w:tcPr>
            <w:tcW w:w="567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D4C25" w:rsidRPr="004C22AB" w:rsidRDefault="00CD4C25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D4C25" w:rsidRPr="004C22AB" w:rsidRDefault="00990502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D4C25" w:rsidRPr="004C22AB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63" w:type="dxa"/>
            <w:shd w:val="clear" w:color="auto" w:fill="auto"/>
          </w:tcPr>
          <w:p w:rsidR="00CD4C25" w:rsidRPr="004C22AB" w:rsidRDefault="00CD4C25" w:rsidP="0099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 w:rsidR="009905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30F80" w:rsidRPr="00D45849" w:rsidTr="00C30F80">
        <w:trPr>
          <w:trHeight w:val="742"/>
        </w:trPr>
        <w:tc>
          <w:tcPr>
            <w:tcW w:w="567" w:type="dxa"/>
            <w:vMerge w:val="restart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8" w:name="_Hlk498508694"/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30F80">
              <w:rPr>
                <w:rFonts w:ascii="Times New Roman" w:hAnsi="Times New Roman"/>
                <w:u w:val="single"/>
              </w:rPr>
              <w:t>Раздел 1</w:t>
            </w:r>
          </w:p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30F80">
              <w:rPr>
                <w:rFonts w:ascii="Times New Roman" w:hAnsi="Times New Roman"/>
                <w:b/>
                <w:i/>
              </w:rPr>
              <w:t>Основное мероприятие 1</w:t>
            </w:r>
          </w:p>
          <w:p w:rsidR="00C30F80" w:rsidRPr="00C30F80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30F80">
              <w:rPr>
                <w:rFonts w:ascii="Times New Roman" w:hAnsi="Times New Roman"/>
              </w:rPr>
              <w:t>Развитие потребительского рынка и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C30F80" w:rsidRPr="004A3BC5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15 197 122</w:t>
            </w:r>
          </w:p>
        </w:tc>
        <w:tc>
          <w:tcPr>
            <w:tcW w:w="993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F80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C30F80" w:rsidRPr="00C30F80" w:rsidRDefault="00C30F80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30F80">
              <w:rPr>
                <w:rFonts w:ascii="Times New Roman" w:hAnsi="Times New Roman"/>
                <w:b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</w:tcPr>
          <w:p w:rsidR="00C30F80" w:rsidRPr="00C30F8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0461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30F80" w:rsidRPr="00C30F8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r w:rsidR="000461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C30F80" w:rsidRPr="00C30F80" w:rsidRDefault="00C30F80" w:rsidP="0004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  <w:r w:rsidR="000461D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30F80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80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предпринимательства.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30F80" w:rsidRPr="00C30F80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80">
              <w:rPr>
                <w:rFonts w:ascii="Times New Roman" w:hAnsi="Times New Roman"/>
                <w:sz w:val="20"/>
                <w:szCs w:val="20"/>
              </w:rPr>
              <w:t>Динамичное развитие инфраструктуры потребительского рынка. Обеспечение современными мощностями инфраструктуры потребительского рынка и услуг и повышение качества обслуживания.</w:t>
            </w:r>
          </w:p>
          <w:p w:rsidR="00C30F80" w:rsidRPr="004C22AB" w:rsidRDefault="00C30F80" w:rsidP="00C30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F80">
              <w:rPr>
                <w:rFonts w:ascii="Times New Roman" w:hAnsi="Times New Roman"/>
                <w:sz w:val="20"/>
                <w:szCs w:val="20"/>
              </w:rPr>
              <w:t>Обеспечение рационального развития сферы потребительского рынка и услуг</w:t>
            </w:r>
          </w:p>
        </w:tc>
      </w:tr>
      <w:tr w:rsidR="00C30F80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A3BC5" w:rsidRDefault="00C30F80" w:rsidP="00C7009B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C22AB" w:rsidRDefault="000A0206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0F80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C30F80" w:rsidRPr="004A3BC5" w:rsidRDefault="00C30F80" w:rsidP="003A4193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15197122</w:t>
            </w:r>
          </w:p>
        </w:tc>
        <w:tc>
          <w:tcPr>
            <w:tcW w:w="993" w:type="dxa"/>
            <w:shd w:val="clear" w:color="auto" w:fill="auto"/>
          </w:tcPr>
          <w:p w:rsidR="00C30F80" w:rsidRPr="004C22AB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10253300</w:t>
            </w:r>
          </w:p>
        </w:tc>
        <w:tc>
          <w:tcPr>
            <w:tcW w:w="992" w:type="dxa"/>
            <w:shd w:val="clear" w:color="auto" w:fill="auto"/>
          </w:tcPr>
          <w:p w:rsidR="00C30F80" w:rsidRPr="004C22AB" w:rsidRDefault="007C0253" w:rsidP="007C0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4 880 422</w:t>
            </w:r>
          </w:p>
        </w:tc>
        <w:tc>
          <w:tcPr>
            <w:tcW w:w="1135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C30F80" w:rsidRPr="004C22AB" w:rsidRDefault="007C0253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30F80" w:rsidRPr="004C22AB" w:rsidRDefault="00C30F80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8"/>
      <w:tr w:rsidR="00712E4D" w:rsidRPr="00D45849" w:rsidTr="00712E4D">
        <w:trPr>
          <w:trHeight w:val="703"/>
        </w:trPr>
        <w:tc>
          <w:tcPr>
            <w:tcW w:w="567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12E4D" w:rsidRPr="00712E4D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E4D">
              <w:rPr>
                <w:rFonts w:ascii="Times New Roman" w:hAnsi="Times New Roman"/>
                <w:b/>
              </w:rPr>
              <w:t>Мероприятие 1</w:t>
            </w:r>
          </w:p>
          <w:p w:rsidR="00712E4D" w:rsidRPr="00DF32E1" w:rsidRDefault="00712E4D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32E1">
              <w:rPr>
                <w:rFonts w:ascii="Times New Roman" w:hAnsi="Times New Roman"/>
              </w:rPr>
              <w:t>Содействие вводу (строительству) новых современных объектов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12E4D" w:rsidRPr="004A3BC5" w:rsidRDefault="00712E4D" w:rsidP="003A4193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15 197 122</w:t>
            </w:r>
          </w:p>
        </w:tc>
        <w:tc>
          <w:tcPr>
            <w:tcW w:w="993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BC5">
              <w:rPr>
                <w:rFonts w:ascii="Times New Roman" w:hAnsi="Times New Roman"/>
                <w:b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BC5">
              <w:rPr>
                <w:rFonts w:ascii="Times New Roman" w:hAnsi="Times New Roman"/>
                <w:b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134" w:type="dxa"/>
          </w:tcPr>
          <w:p w:rsidR="00712E4D" w:rsidRPr="004A3BC5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3BC5">
              <w:rPr>
                <w:rFonts w:ascii="Times New Roman" w:hAnsi="Times New Roman"/>
                <w:b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предпринимательства. Хозяйствующие субъекты, инвестирующие в строительство объектов.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Увеличение обеспеченности населения городского округа современной инфраструктурой,  приростом новых мощностей в сфере потребительского рынка.</w:t>
            </w:r>
          </w:p>
        </w:tc>
      </w:tr>
      <w:tr w:rsidR="00712E4D" w:rsidRPr="00D45849" w:rsidTr="00712E4D">
        <w:trPr>
          <w:trHeight w:val="1370"/>
        </w:trPr>
        <w:tc>
          <w:tcPr>
            <w:tcW w:w="56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A3BC5" w:rsidRDefault="00712E4D" w:rsidP="00C70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E4D" w:rsidRPr="00D45849" w:rsidTr="00712E4D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12E4D" w:rsidRPr="004A3BC5" w:rsidRDefault="00712E4D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1 533 340</w:t>
            </w:r>
          </w:p>
        </w:tc>
        <w:tc>
          <w:tcPr>
            <w:tcW w:w="1133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15 197 122</w:t>
            </w:r>
          </w:p>
        </w:tc>
        <w:tc>
          <w:tcPr>
            <w:tcW w:w="993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E4D">
              <w:rPr>
                <w:rFonts w:ascii="Times New Roman" w:hAnsi="Times New Roman"/>
                <w:sz w:val="16"/>
                <w:szCs w:val="16"/>
              </w:rPr>
              <w:t>10 253 300</w:t>
            </w:r>
          </w:p>
        </w:tc>
        <w:tc>
          <w:tcPr>
            <w:tcW w:w="992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E4D">
              <w:rPr>
                <w:rFonts w:ascii="Times New Roman" w:hAnsi="Times New Roman"/>
                <w:sz w:val="16"/>
                <w:szCs w:val="16"/>
              </w:rPr>
              <w:t>4 880 422</w:t>
            </w:r>
          </w:p>
        </w:tc>
        <w:tc>
          <w:tcPr>
            <w:tcW w:w="1135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3 400</w:t>
            </w:r>
          </w:p>
        </w:tc>
        <w:tc>
          <w:tcPr>
            <w:tcW w:w="1134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134" w:type="dxa"/>
            <w:shd w:val="clear" w:color="auto" w:fill="auto"/>
          </w:tcPr>
          <w:p w:rsidR="00712E4D" w:rsidRPr="00712E4D" w:rsidRDefault="00712E4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E4D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  <w:tc>
          <w:tcPr>
            <w:tcW w:w="1417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12E4D" w:rsidRPr="004C22AB" w:rsidRDefault="00712E4D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45849" w:rsidTr="00F44382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2E4D">
              <w:rPr>
                <w:rFonts w:ascii="Times New Roman" w:hAnsi="Times New Roman"/>
                <w:b/>
              </w:rPr>
              <w:t>Мероприятие 2</w:t>
            </w:r>
          </w:p>
          <w:p w:rsidR="005E546E" w:rsidRPr="005E546E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E546E">
              <w:rPr>
                <w:rFonts w:ascii="Times New Roman" w:hAnsi="Times New Roman"/>
                <w:sz w:val="21"/>
                <w:szCs w:val="21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 Организаторы ярмарок.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Расширение сбыта товаров народного потребления, популяризация ярмарочных мероприятий среди населения, в том числе в формате «</w:t>
            </w:r>
            <w:proofErr w:type="spellStart"/>
            <w:r w:rsidRPr="005E546E">
              <w:rPr>
                <w:rFonts w:ascii="Times New Roman" w:hAnsi="Times New Roman"/>
                <w:sz w:val="20"/>
                <w:szCs w:val="20"/>
              </w:rPr>
              <w:t>Ценопад</w:t>
            </w:r>
            <w:proofErr w:type="spellEnd"/>
            <w:r w:rsidRPr="005E546E">
              <w:rPr>
                <w:rFonts w:ascii="Times New Roman" w:hAnsi="Times New Roman"/>
                <w:sz w:val="20"/>
                <w:szCs w:val="20"/>
              </w:rPr>
              <w:t>» и «Социальная ярмарка».</w:t>
            </w:r>
          </w:p>
        </w:tc>
      </w:tr>
      <w:tr w:rsidR="005E546E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C2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5E546E">
        <w:trPr>
          <w:trHeight w:val="793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b/>
              </w:rPr>
              <w:t xml:space="preserve">Мероприятие 3 - </w:t>
            </w:r>
            <w:r w:rsidRPr="007B7CB4">
              <w:rPr>
                <w:rFonts w:ascii="Times New Roman" w:hAnsi="Times New Roman"/>
                <w:sz w:val="20"/>
                <w:szCs w:val="20"/>
              </w:rPr>
              <w:t>Организация и проведение «социальных» акций для ветеранов и инвалидов Великой Отечественной войны, социально незащищенных категорий граждан с участием хозяйствующих субъектов, осуществляющих деятельность в сфере потребительского рынка и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 Хозяйствующие субъекты, осуществляющие деятельность в сфере торговли.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Поддержка граждан, находящихся в трудной жизненной ситуации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911EF4">
        <w:trPr>
          <w:trHeight w:val="793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b/>
              </w:rPr>
              <w:t>Мероприятие 4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5E546E">
              <w:rPr>
                <w:rFonts w:ascii="Times New Roman" w:hAnsi="Times New Roman"/>
                <w:sz w:val="21"/>
                <w:szCs w:val="21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Финансовое управление. Отдел потребительского рынка и рекламы управления по инвестициям и развитию предпринимательства.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>Предоставление субсидии организациям, субъектам МСП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A3BC5">
        <w:trPr>
          <w:trHeight w:val="250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b/>
              </w:rPr>
              <w:t>Мероприятие 5 -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546E">
              <w:rPr>
                <w:rFonts w:ascii="Times New Roman" w:hAnsi="Times New Roman"/>
              </w:rPr>
              <w:t>Реализация некоторых мер по защите прав потребителей в сфере торговли, общественного питания и бытовых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5E546E" w:rsidRDefault="005E546E" w:rsidP="0091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46E">
              <w:rPr>
                <w:rFonts w:ascii="Times New Roman" w:hAnsi="Times New Roman"/>
                <w:sz w:val="20"/>
                <w:szCs w:val="20"/>
              </w:rPr>
              <w:t xml:space="preserve">Отдел потребительского рынка и рекламы управления по инвестициям и развитию предпринимательства. Управления </w:t>
            </w:r>
            <w:proofErr w:type="spellStart"/>
            <w:r w:rsidRPr="005E546E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 w:rsidRPr="005E546E">
              <w:rPr>
                <w:rFonts w:ascii="Times New Roman" w:hAnsi="Times New Roman"/>
                <w:sz w:val="20"/>
                <w:szCs w:val="20"/>
              </w:rPr>
              <w:t xml:space="preserve"> по Московской области.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Получение гражданами квалифицированной консультационной помощи по вопросам защиты прав потребителей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A3BC5">
              <w:rPr>
                <w:sz w:val="22"/>
                <w:szCs w:val="22"/>
              </w:rPr>
              <w:t>Внебюджетные источники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>Мероприятие 6 -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3B37">
              <w:rPr>
                <w:rFonts w:ascii="Times New Roman" w:hAnsi="Times New Roman"/>
                <w:sz w:val="20"/>
                <w:szCs w:val="20"/>
              </w:rPr>
              <w:t>Разработка, согласование и утверждение в муниципальном образовании Московской области схем размещения нестационарных торговых объектов, а также демонтаж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1 200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  <w:p w:rsidR="00B853ED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B853E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134" w:type="dxa"/>
          </w:tcPr>
          <w:p w:rsidR="005E546E" w:rsidRPr="004A3BC5" w:rsidRDefault="004A3BC5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2E1">
              <w:rPr>
                <w:rFonts w:ascii="Times New Roman" w:hAnsi="Times New Roman"/>
                <w:sz w:val="20"/>
                <w:szCs w:val="20"/>
                <w:lang w:eastAsia="ru-RU"/>
              </w:rPr>
              <w:t>Выявление нарушений при размещении нестационарных торговых объектов, анализ принятых мер, направленных на устранение нарушений.</w:t>
            </w:r>
          </w:p>
          <w:p w:rsidR="005E546E" w:rsidRPr="00DF32E1" w:rsidRDefault="005E546E" w:rsidP="00485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32E1">
              <w:rPr>
                <w:rFonts w:ascii="Times New Roman" w:hAnsi="Times New Roman"/>
                <w:sz w:val="20"/>
                <w:szCs w:val="20"/>
                <w:lang w:eastAsia="ru-RU"/>
              </w:rPr>
              <w:t>Сокращение доли нестационарных торговых объектов, несоответствующих требованиям законодательства от общего количества выявленных несанкционированных нестационарных торговых объектов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DF32E1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B0377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993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5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DF32E1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DF32E1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2 -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Развитие сферы общественного питания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 Хозяйствующие субъекты, осуществляющие деятельность в сфере общественного питания.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F32E1" w:rsidTr="004A3BC5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>Мероприятие 1 -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Содействие увеличению уровня обеспеченности населения городского округа Красного</w:t>
            </w:r>
            <w:proofErr w:type="gramStart"/>
            <w:r w:rsidRPr="00DF32E1">
              <w:rPr>
                <w:rFonts w:ascii="Times New Roman" w:hAnsi="Times New Roman"/>
              </w:rPr>
              <w:t>рск пр</w:t>
            </w:r>
            <w:proofErr w:type="gramEnd"/>
            <w:r w:rsidRPr="00DF32E1">
              <w:rPr>
                <w:rFonts w:ascii="Times New Roman" w:hAnsi="Times New Roman"/>
              </w:rPr>
              <w:t>едприятиями общественного 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Удовлетворение потребности населения городского округа услугами общественного питания</w:t>
            </w:r>
          </w:p>
        </w:tc>
      </w:tr>
      <w:tr w:rsidR="005E546E" w:rsidRPr="00DF32E1" w:rsidTr="004A3BC5">
        <w:trPr>
          <w:trHeight w:val="1319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DF32E1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Средства бюджета город</w:t>
            </w:r>
            <w:r w:rsidR="00DF32E1">
              <w:rPr>
                <w:sz w:val="20"/>
                <w:szCs w:val="20"/>
              </w:rPr>
              <w:t>ск</w:t>
            </w:r>
            <w:r w:rsidRPr="004C22AB">
              <w:rPr>
                <w:sz w:val="20"/>
                <w:szCs w:val="20"/>
              </w:rPr>
              <w:t xml:space="preserve">ого округа </w:t>
            </w:r>
            <w:r>
              <w:rPr>
                <w:sz w:val="20"/>
                <w:szCs w:val="20"/>
              </w:rPr>
              <w:t>Красногор</w:t>
            </w:r>
            <w:r w:rsidR="004A3BC5">
              <w:rPr>
                <w:sz w:val="20"/>
                <w:szCs w:val="20"/>
              </w:rPr>
              <w:t>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DF32E1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A3BC5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Внебюджетные источники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A3BC5">
        <w:trPr>
          <w:trHeight w:val="509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3 -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Развитие сферы бытовых услуг на территории городского округа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 Хозяйствующие субъекты, осуществляющие деятельность в сфере бытового обслуживан</w:t>
            </w:r>
            <w:r w:rsidR="00DF32E1">
              <w:rPr>
                <w:rFonts w:ascii="Times New Roman" w:hAnsi="Times New Roman"/>
                <w:sz w:val="20"/>
                <w:szCs w:val="20"/>
              </w:rPr>
              <w:t>ия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Удовлетворение потребности населения городского округа бытовыми услугами</w:t>
            </w:r>
          </w:p>
          <w:p w:rsidR="00DF32E1" w:rsidRPr="00DF32E1" w:rsidRDefault="00DF32E1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DF32E1">
        <w:trPr>
          <w:trHeight w:val="561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</w:rPr>
              <w:t>Мероприятие 1 -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Содействие увеличению уровня обеспеченности населения городского округа Красного</w:t>
            </w:r>
            <w:proofErr w:type="gramStart"/>
            <w:r w:rsidRPr="00DF32E1">
              <w:rPr>
                <w:rFonts w:ascii="Times New Roman" w:hAnsi="Times New Roman"/>
              </w:rPr>
              <w:t>рск пр</w:t>
            </w:r>
            <w:proofErr w:type="gramEnd"/>
            <w:r w:rsidRPr="00DF32E1">
              <w:rPr>
                <w:rFonts w:ascii="Times New Roman" w:hAnsi="Times New Roman"/>
              </w:rPr>
              <w:t>едприятиями бытового обслуживания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DF32E1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Отдел потребительского рынка и рекламы управления по инвестициям и развитию предпринимательства.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DF32E1" w:rsidRDefault="005E546E" w:rsidP="00DF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sz w:val="20"/>
                <w:szCs w:val="20"/>
              </w:rPr>
              <w:t>Повышение уровня обслуживания населения и качества предоставляемых услуг.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A3BC5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 xml:space="preserve">Средства бюджета городского округа </w:t>
            </w:r>
            <w:r w:rsidR="004A3BC5">
              <w:rPr>
                <w:sz w:val="22"/>
                <w:szCs w:val="22"/>
              </w:rPr>
              <w:t>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A3BC5">
        <w:trPr>
          <w:trHeight w:val="545"/>
        </w:trPr>
        <w:tc>
          <w:tcPr>
            <w:tcW w:w="567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>Основное мероприятие 4 -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32E1">
              <w:rPr>
                <w:rFonts w:ascii="Times New Roman" w:hAnsi="Times New Roman"/>
              </w:rPr>
              <w:t>Реализация губернаторской программы «100 бань Подмосковья»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3BC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предпринимательства. 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Выполнение обращения Губернатора Московской области от 2014 года.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Увеличение мощностей по оказанию банных услуг и улучшение обеспеченности населения округа банными услугами в соответствии с нормативами.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</w:t>
            </w:r>
            <w:proofErr w:type="gramStart"/>
            <w:r w:rsidRPr="00911EF4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4A3BC5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BC5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C22AB" w:rsidRDefault="005E546E" w:rsidP="004854E6">
            <w:pPr>
              <w:pStyle w:val="ConsPlusCell"/>
              <w:rPr>
                <w:sz w:val="20"/>
                <w:szCs w:val="20"/>
              </w:rPr>
            </w:pPr>
            <w:r w:rsidRPr="00FA65A2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4A3BC5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4A3BC5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>Мероприятие 1 -</w:t>
            </w:r>
            <w:r w:rsidRPr="00911E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EF4">
              <w:rPr>
                <w:rFonts w:ascii="Times New Roman" w:hAnsi="Times New Roman"/>
              </w:rPr>
              <w:t>Содействие строительству (реконструкции)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0DE7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услуг, в части ввода новых объектов по предоставлению банных услуг населению.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911EF4">
        <w:trPr>
          <w:trHeight w:val="851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40 000</w:t>
            </w:r>
          </w:p>
        </w:tc>
        <w:tc>
          <w:tcPr>
            <w:tcW w:w="113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170 000</w:t>
            </w:r>
          </w:p>
        </w:tc>
        <w:tc>
          <w:tcPr>
            <w:tcW w:w="993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5 000</w:t>
            </w:r>
          </w:p>
        </w:tc>
        <w:tc>
          <w:tcPr>
            <w:tcW w:w="992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165 000</w:t>
            </w:r>
          </w:p>
        </w:tc>
        <w:tc>
          <w:tcPr>
            <w:tcW w:w="1135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E4806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EF4">
              <w:rPr>
                <w:rFonts w:ascii="Times New Roman" w:hAnsi="Times New Roman"/>
                <w:b/>
              </w:rPr>
              <w:t xml:space="preserve">Мероприятие 2 - </w:t>
            </w:r>
            <w:r w:rsidRPr="00911EF4">
              <w:rPr>
                <w:rFonts w:ascii="Times New Roman" w:hAnsi="Times New Roman"/>
              </w:rPr>
              <w:t>Поиск и подбор инвесторов для строительства/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</w:rPr>
              <w:t>реконструкции банных объектов в рамках программы «100 бань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5E546E" w:rsidRPr="00980DE7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0DE7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</w:p>
        </w:tc>
        <w:tc>
          <w:tcPr>
            <w:tcW w:w="1963" w:type="dxa"/>
            <w:vMerge w:val="restart"/>
            <w:shd w:val="clear" w:color="auto" w:fill="auto"/>
            <w:vAlign w:val="center"/>
          </w:tcPr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Увеличение мощностей по оказанию банных услуг и улучшение обеспеченности населения округа банными услугами в соответствии с нормативами.</w:t>
            </w:r>
          </w:p>
          <w:p w:rsidR="005E546E" w:rsidRPr="00911EF4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Привлечение инвестиций в развитие потребительского рынка и услуг.</w:t>
            </w:r>
          </w:p>
        </w:tc>
      </w:tr>
      <w:tr w:rsidR="005E546E" w:rsidRPr="004C22AB" w:rsidTr="004854E6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546E" w:rsidRPr="004C22AB" w:rsidTr="00751604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5E546E" w:rsidRPr="00980DE7" w:rsidRDefault="005E546E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E546E" w:rsidRPr="004C22AB" w:rsidRDefault="005E546E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5E546E" w:rsidRPr="004C22AB" w:rsidRDefault="005E546E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751604">
        <w:trPr>
          <w:trHeight w:val="516"/>
        </w:trPr>
        <w:tc>
          <w:tcPr>
            <w:tcW w:w="567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4C22AB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2E1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i/>
              </w:rPr>
              <w:t>5</w:t>
            </w:r>
            <w:r w:rsidRPr="00DF32E1">
              <w:rPr>
                <w:rFonts w:ascii="Times New Roman" w:hAnsi="Times New Roman"/>
                <w:b/>
                <w:i/>
              </w:rPr>
              <w:t xml:space="preserve"> -</w:t>
            </w:r>
            <w:r w:rsidRPr="00A10E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4196">
              <w:rPr>
                <w:rFonts w:ascii="Times New Roman" w:hAnsi="Times New Roman"/>
              </w:rPr>
              <w:t>Эффективность работы органов местного самоуправления по организации торговой деятельности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751604" w:rsidRDefault="00751604" w:rsidP="004854E6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1604" w:rsidRPr="004C22AB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751604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>ормирование стабильной и эффективной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прозрачной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 xml:space="preserve"> среды для ведения предпринимательс</w:t>
            </w:r>
            <w:r>
              <w:rPr>
                <w:rFonts w:ascii="Times New Roman" w:hAnsi="Times New Roman"/>
                <w:sz w:val="20"/>
                <w:szCs w:val="20"/>
              </w:rPr>
              <w:t>кой деятельности</w:t>
            </w:r>
            <w:r w:rsidRPr="00751604">
              <w:rPr>
                <w:rFonts w:ascii="Times New Roman" w:hAnsi="Times New Roman"/>
                <w:sz w:val="20"/>
                <w:szCs w:val="20"/>
              </w:rPr>
              <w:t>, способствование закреплению различных форматов</w:t>
            </w:r>
          </w:p>
          <w:p w:rsidR="00751604" w:rsidRPr="004C22AB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торговли.</w:t>
            </w:r>
          </w:p>
          <w:p w:rsidR="00751604" w:rsidRPr="004C22AB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07512F">
        <w:trPr>
          <w:trHeight w:val="876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DF32E1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980DE7" w:rsidRDefault="00751604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07512F">
        <w:trPr>
          <w:trHeight w:val="864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DF32E1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Default="00751604" w:rsidP="004854E6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  <w:p w:rsidR="003B422A" w:rsidRDefault="003B422A" w:rsidP="004854E6">
            <w:pPr>
              <w:pStyle w:val="ConsPlusCell"/>
              <w:rPr>
                <w:sz w:val="22"/>
                <w:szCs w:val="22"/>
              </w:rPr>
            </w:pPr>
          </w:p>
          <w:p w:rsidR="003B422A" w:rsidRPr="00980DE7" w:rsidRDefault="003B422A" w:rsidP="004854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751604">
        <w:trPr>
          <w:trHeight w:val="168"/>
        </w:trPr>
        <w:tc>
          <w:tcPr>
            <w:tcW w:w="567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4C22AB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>Мероприятие 1 -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34196">
              <w:rPr>
                <w:rFonts w:ascii="Times New Roman" w:hAnsi="Times New Roman"/>
                <w:sz w:val="20"/>
                <w:szCs w:val="20"/>
              </w:rPr>
              <w:t>Эффективность размещения нестационарных торговых объектов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751604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1604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1604" w:rsidRPr="004C22AB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4C22AB" w:rsidRDefault="00872B5D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B5D">
              <w:rPr>
                <w:rFonts w:ascii="Times New Roman" w:hAnsi="Times New Roman"/>
                <w:sz w:val="20"/>
                <w:szCs w:val="20"/>
              </w:rPr>
              <w:t>Повышение прозрачности и конкурентоспособности в сфере нестационарной торговли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51604" w:rsidRPr="004C22AB" w:rsidTr="0007512F">
        <w:trPr>
          <w:trHeight w:val="432"/>
        </w:trPr>
        <w:tc>
          <w:tcPr>
            <w:tcW w:w="567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911EF4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980DE7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07512F">
        <w:trPr>
          <w:trHeight w:val="552"/>
        </w:trPr>
        <w:tc>
          <w:tcPr>
            <w:tcW w:w="567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911EF4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980DE7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751604">
        <w:trPr>
          <w:trHeight w:val="285"/>
        </w:trPr>
        <w:tc>
          <w:tcPr>
            <w:tcW w:w="567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  <w:b/>
              </w:rPr>
              <w:t>2</w:t>
            </w:r>
            <w:r w:rsidRPr="00911EF4">
              <w:rPr>
                <w:rFonts w:ascii="Times New Roman" w:hAnsi="Times New Roman"/>
                <w:b/>
              </w:rPr>
              <w:t xml:space="preserve"> -</w:t>
            </w:r>
          </w:p>
          <w:p w:rsidR="00751604" w:rsidRPr="004C22AB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196">
              <w:rPr>
                <w:rFonts w:ascii="Times New Roman" w:hAnsi="Times New Roman"/>
                <w:sz w:val="20"/>
                <w:szCs w:val="20"/>
              </w:rPr>
              <w:t>Эффективность работы при организации и проведении ярмарок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751604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751604">
              <w:rPr>
                <w:sz w:val="22"/>
                <w:szCs w:val="22"/>
              </w:rPr>
              <w:t>Итого: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51604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51604" w:rsidRPr="004C22AB" w:rsidRDefault="00751604" w:rsidP="0075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1EF4">
              <w:rPr>
                <w:rFonts w:ascii="Times New Roman" w:hAnsi="Times New Roman"/>
                <w:sz w:val="20"/>
                <w:szCs w:val="20"/>
              </w:rPr>
              <w:t>Хозяйствующие субъекты.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4C22AB" w:rsidRDefault="004201AF" w:rsidP="0042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</w:t>
            </w:r>
            <w:r w:rsidRPr="004201AF">
              <w:rPr>
                <w:rFonts w:ascii="Times New Roman" w:hAnsi="Times New Roman"/>
                <w:sz w:val="20"/>
                <w:szCs w:val="20"/>
              </w:rPr>
              <w:t>ровень качества организуемых ярмарочных мероприятий, их соответствие требованиям законодательства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51604" w:rsidRPr="004C22AB" w:rsidTr="0007512F">
        <w:trPr>
          <w:trHeight w:val="492"/>
        </w:trPr>
        <w:tc>
          <w:tcPr>
            <w:tcW w:w="567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911EF4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Pr="00980DE7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4C22AB" w:rsidTr="0007512F">
        <w:trPr>
          <w:trHeight w:val="384"/>
        </w:trPr>
        <w:tc>
          <w:tcPr>
            <w:tcW w:w="567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911EF4" w:rsidRDefault="00751604" w:rsidP="00634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604" w:rsidRDefault="00751604" w:rsidP="0007512F">
            <w:pPr>
              <w:pStyle w:val="ConsPlusCell"/>
              <w:rPr>
                <w:sz w:val="22"/>
                <w:szCs w:val="22"/>
              </w:rPr>
            </w:pPr>
            <w:r w:rsidRPr="00980DE7">
              <w:rPr>
                <w:sz w:val="22"/>
                <w:szCs w:val="22"/>
              </w:rPr>
              <w:t>Внебюджетные источники*</w:t>
            </w:r>
          </w:p>
          <w:p w:rsidR="003B422A" w:rsidRPr="00980DE7" w:rsidRDefault="003B422A" w:rsidP="0007512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1604" w:rsidRPr="004C22AB" w:rsidRDefault="00751604" w:rsidP="0007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485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471"/>
        </w:trPr>
        <w:tc>
          <w:tcPr>
            <w:tcW w:w="567" w:type="dxa"/>
            <w:vMerge w:val="restart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921C1F" w:rsidRDefault="00751604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104D">
              <w:rPr>
                <w:rFonts w:ascii="Times New Roman" w:hAnsi="Times New Roman"/>
                <w:sz w:val="24"/>
                <w:szCs w:val="24"/>
                <w:u w:val="single"/>
              </w:rPr>
              <w:t>Раздел 2</w:t>
            </w:r>
          </w:p>
          <w:p w:rsidR="00751604" w:rsidRPr="001F5932" w:rsidRDefault="00751604" w:rsidP="001F5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похоронного дела в городском округе Красногорск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932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921C1F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42 315</w:t>
            </w:r>
          </w:p>
        </w:tc>
        <w:tc>
          <w:tcPr>
            <w:tcW w:w="1133" w:type="dxa"/>
            <w:shd w:val="clear" w:color="auto" w:fill="auto"/>
          </w:tcPr>
          <w:p w:rsidR="00751604" w:rsidRPr="00921C1F" w:rsidRDefault="007D33FD" w:rsidP="00D4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47FC">
              <w:rPr>
                <w:rFonts w:ascii="Times New Roman" w:hAnsi="Times New Roman"/>
                <w:b/>
                <w:sz w:val="24"/>
                <w:szCs w:val="24"/>
              </w:rPr>
              <w:t>76 872</w:t>
            </w:r>
          </w:p>
        </w:tc>
        <w:tc>
          <w:tcPr>
            <w:tcW w:w="993" w:type="dxa"/>
            <w:shd w:val="clear" w:color="auto" w:fill="auto"/>
          </w:tcPr>
          <w:p w:rsidR="00751604" w:rsidRPr="00921C1F" w:rsidRDefault="00751604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>73 372</w:t>
            </w:r>
          </w:p>
        </w:tc>
        <w:tc>
          <w:tcPr>
            <w:tcW w:w="992" w:type="dxa"/>
            <w:shd w:val="clear" w:color="auto" w:fill="auto"/>
          </w:tcPr>
          <w:p w:rsidR="00751604" w:rsidRPr="00921C1F" w:rsidRDefault="00751604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725</w:t>
            </w:r>
          </w:p>
        </w:tc>
        <w:tc>
          <w:tcPr>
            <w:tcW w:w="1135" w:type="dxa"/>
            <w:shd w:val="clear" w:color="auto" w:fill="auto"/>
          </w:tcPr>
          <w:p w:rsidR="00751604" w:rsidRPr="00921C1F" w:rsidRDefault="007D33FD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76 925</w:t>
            </w:r>
          </w:p>
        </w:tc>
        <w:tc>
          <w:tcPr>
            <w:tcW w:w="1134" w:type="dxa"/>
            <w:shd w:val="clear" w:color="auto" w:fill="auto"/>
          </w:tcPr>
          <w:p w:rsidR="00751604" w:rsidRPr="00921C1F" w:rsidRDefault="00751604" w:rsidP="008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C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03764">
              <w:rPr>
                <w:rFonts w:ascii="Times New Roman" w:hAnsi="Times New Roman"/>
                <w:b/>
                <w:sz w:val="24"/>
                <w:szCs w:val="24"/>
              </w:rPr>
              <w:t>6 925</w:t>
            </w:r>
          </w:p>
        </w:tc>
        <w:tc>
          <w:tcPr>
            <w:tcW w:w="1134" w:type="dxa"/>
          </w:tcPr>
          <w:p w:rsidR="00751604" w:rsidRPr="00921C1F" w:rsidRDefault="00803764" w:rsidP="008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76 925</w:t>
            </w:r>
          </w:p>
        </w:tc>
        <w:tc>
          <w:tcPr>
            <w:tcW w:w="1417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21C1F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DC2631" w:rsidRDefault="007D33FD" w:rsidP="00D44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447FC">
              <w:rPr>
                <w:rFonts w:ascii="Times New Roman" w:hAnsi="Times New Roman"/>
                <w:b/>
                <w:sz w:val="24"/>
                <w:szCs w:val="24"/>
              </w:rPr>
              <w:t>03 500</w:t>
            </w:r>
          </w:p>
        </w:tc>
        <w:tc>
          <w:tcPr>
            <w:tcW w:w="993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5C7213" w:rsidRDefault="00751604" w:rsidP="00B110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C7213">
              <w:rPr>
                <w:rFonts w:ascii="Times New Roman" w:hAnsi="Times New Roman"/>
                <w:sz w:val="24"/>
                <w:szCs w:val="24"/>
              </w:rPr>
              <w:t>72 725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5C7213" w:rsidP="00D0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76 925</w:t>
            </w:r>
          </w:p>
        </w:tc>
        <w:tc>
          <w:tcPr>
            <w:tcW w:w="1134" w:type="dxa"/>
            <w:shd w:val="clear" w:color="auto" w:fill="auto"/>
          </w:tcPr>
          <w:p w:rsidR="00751604" w:rsidRPr="00575CE0" w:rsidRDefault="00751604" w:rsidP="00803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03764">
              <w:rPr>
                <w:rFonts w:ascii="Times New Roman" w:hAnsi="Times New Roman"/>
                <w:sz w:val="24"/>
                <w:szCs w:val="24"/>
              </w:rPr>
              <w:t>6 925</w:t>
            </w:r>
          </w:p>
        </w:tc>
        <w:tc>
          <w:tcPr>
            <w:tcW w:w="1134" w:type="dxa"/>
          </w:tcPr>
          <w:p w:rsidR="00751604" w:rsidRPr="00575CE0" w:rsidRDefault="00803764" w:rsidP="00D0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76 925</w:t>
            </w:r>
          </w:p>
        </w:tc>
        <w:tc>
          <w:tcPr>
            <w:tcW w:w="1417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04" w:rsidRPr="00D45849" w:rsidTr="00F44382">
        <w:trPr>
          <w:trHeight w:val="793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21C1F" w:rsidRDefault="00751604" w:rsidP="0092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28 342</w:t>
            </w:r>
          </w:p>
        </w:tc>
        <w:tc>
          <w:tcPr>
            <w:tcW w:w="1133" w:type="dxa"/>
            <w:shd w:val="clear" w:color="auto" w:fill="auto"/>
          </w:tcPr>
          <w:p w:rsidR="00751604" w:rsidRPr="00DC2631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64 767</w:t>
            </w:r>
          </w:p>
        </w:tc>
        <w:tc>
          <w:tcPr>
            <w:tcW w:w="993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64 767</w:t>
            </w:r>
          </w:p>
        </w:tc>
        <w:tc>
          <w:tcPr>
            <w:tcW w:w="992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21C1F" w:rsidRDefault="00751604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921C1F">
              <w:rPr>
                <w:rFonts w:ascii="Times New Roman" w:hAnsi="Times New Roman"/>
              </w:rPr>
              <w:t>Средства бюджета поселений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13 973</w:t>
            </w:r>
          </w:p>
        </w:tc>
        <w:tc>
          <w:tcPr>
            <w:tcW w:w="1133" w:type="dxa"/>
            <w:shd w:val="clear" w:color="auto" w:fill="auto"/>
          </w:tcPr>
          <w:p w:rsidR="00751604" w:rsidRPr="00DC2631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21C1F" w:rsidRDefault="00751604" w:rsidP="0057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vertAlign w:val="superscript"/>
              </w:rPr>
            </w:pPr>
            <w:r w:rsidRPr="00921C1F">
              <w:rPr>
                <w:rFonts w:ascii="Times New Roman" w:hAnsi="Times New Roman"/>
              </w:rPr>
              <w:t>Средства бюджета поселений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DC2631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631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575CE0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1F5932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04" w:rsidRPr="00D45849" w:rsidTr="00F44382">
        <w:trPr>
          <w:trHeight w:val="1006"/>
        </w:trPr>
        <w:tc>
          <w:tcPr>
            <w:tcW w:w="567" w:type="dxa"/>
            <w:vMerge w:val="restart"/>
            <w:shd w:val="clear" w:color="auto" w:fill="auto"/>
          </w:tcPr>
          <w:p w:rsidR="00751604" w:rsidRPr="003B422A" w:rsidRDefault="003B422A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22A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706F3E" w:rsidRDefault="00751604" w:rsidP="00037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06F3E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i/>
              </w:rPr>
              <w:t>6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 xml:space="preserve">Создание и </w:t>
            </w:r>
            <w:r>
              <w:rPr>
                <w:rFonts w:ascii="Times New Roman" w:hAnsi="Times New Roman"/>
              </w:rPr>
              <w:t>функци</w:t>
            </w:r>
            <w:r w:rsidRPr="00706F3E">
              <w:rPr>
                <w:rFonts w:ascii="Times New Roman" w:hAnsi="Times New Roman"/>
              </w:rPr>
              <w:t>онирование на территории муници</w:t>
            </w:r>
            <w:r>
              <w:rPr>
                <w:rFonts w:ascii="Times New Roman" w:hAnsi="Times New Roman"/>
              </w:rPr>
              <w:t>пального райо</w:t>
            </w:r>
            <w:r w:rsidRPr="00706F3E">
              <w:rPr>
                <w:rFonts w:ascii="Times New Roman" w:hAnsi="Times New Roman"/>
              </w:rPr>
              <w:t xml:space="preserve">на/городского округа муниципального казенного учреждения </w:t>
            </w:r>
            <w:r>
              <w:rPr>
                <w:rFonts w:ascii="Times New Roman" w:hAnsi="Times New Roman"/>
              </w:rPr>
              <w:t>в сфере погре</w:t>
            </w:r>
            <w:r w:rsidRPr="00706F3E">
              <w:rPr>
                <w:rFonts w:ascii="Times New Roman" w:hAnsi="Times New Roman"/>
              </w:rPr>
              <w:t>бения и похоронного дела по принципу: 1 муниципальный район/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городской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округ – 1 МКУ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22 265</w:t>
            </w:r>
          </w:p>
        </w:tc>
        <w:tc>
          <w:tcPr>
            <w:tcW w:w="1133" w:type="dxa"/>
            <w:shd w:val="clear" w:color="auto" w:fill="auto"/>
          </w:tcPr>
          <w:p w:rsidR="00751604" w:rsidRPr="000A3A06" w:rsidRDefault="00751604" w:rsidP="0078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151F8">
              <w:rPr>
                <w:rFonts w:ascii="Times New Roman" w:hAnsi="Times New Roman"/>
                <w:b/>
              </w:rPr>
              <w:t xml:space="preserve">6 </w:t>
            </w:r>
            <w:r w:rsidR="00785778">
              <w:rPr>
                <w:rFonts w:ascii="Times New Roman" w:hAnsi="Times New Roman"/>
                <w:b/>
              </w:rPr>
              <w:t>63</w:t>
            </w:r>
            <w:r w:rsidR="003151F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51604" w:rsidRPr="000A3A06" w:rsidRDefault="00751604" w:rsidP="004C08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:rsidR="00751604" w:rsidRPr="000A3A06" w:rsidRDefault="00751604" w:rsidP="0078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Pr="000A3A06">
              <w:rPr>
                <w:rFonts w:ascii="Times New Roman" w:hAnsi="Times New Roman"/>
                <w:b/>
              </w:rPr>
              <w:t xml:space="preserve"> </w:t>
            </w:r>
            <w:r w:rsidR="00785778">
              <w:rPr>
                <w:rFonts w:ascii="Times New Roman" w:hAnsi="Times New Roman"/>
                <w:b/>
              </w:rPr>
              <w:t>59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5" w:type="dxa"/>
            <w:shd w:val="clear" w:color="auto" w:fill="auto"/>
          </w:tcPr>
          <w:p w:rsidR="00583916" w:rsidRPr="007D33FD" w:rsidRDefault="00AE3619" w:rsidP="007D33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D33FD">
              <w:rPr>
                <w:rFonts w:ascii="Times New Roman" w:hAnsi="Times New Roman"/>
                <w:b/>
              </w:rPr>
              <w:t xml:space="preserve">41 </w:t>
            </w:r>
            <w:r w:rsidR="007D33FD">
              <w:rPr>
                <w:rFonts w:ascii="Times New Roman" w:hAnsi="Times New Roman"/>
                <w:b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:rsidR="00751604" w:rsidRPr="000A3A06" w:rsidRDefault="00D00C91" w:rsidP="00BC2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7D33FD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C271A">
              <w:rPr>
                <w:rFonts w:ascii="Times New Roman" w:hAnsi="Times New Roman"/>
                <w:b/>
              </w:rPr>
              <w:t>256</w:t>
            </w:r>
          </w:p>
        </w:tc>
        <w:tc>
          <w:tcPr>
            <w:tcW w:w="1134" w:type="dxa"/>
          </w:tcPr>
          <w:p w:rsidR="00751604" w:rsidRPr="000A3A06" w:rsidRDefault="003151F8" w:rsidP="00BC27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  <w:r w:rsidR="00D00C91">
              <w:rPr>
                <w:rFonts w:ascii="Times New Roman" w:hAnsi="Times New Roman"/>
                <w:b/>
              </w:rPr>
              <w:t xml:space="preserve"> </w:t>
            </w:r>
            <w:r w:rsidR="00BC271A">
              <w:rPr>
                <w:rFonts w:ascii="Times New Roman" w:hAnsi="Times New Roman"/>
                <w:b/>
              </w:rPr>
              <w:t>256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4C22AB" w:rsidRDefault="00751604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МКУ «</w:t>
            </w:r>
            <w:proofErr w:type="spellStart"/>
            <w:r w:rsidRPr="000A3A06">
              <w:rPr>
                <w:rFonts w:ascii="Times New Roman" w:hAnsi="Times New Roman"/>
              </w:rPr>
              <w:t>Красногорская</w:t>
            </w:r>
            <w:proofErr w:type="spellEnd"/>
            <w:r w:rsidRPr="000A3A06">
              <w:rPr>
                <w:rFonts w:ascii="Times New Roman" w:hAnsi="Times New Roman"/>
              </w:rPr>
              <w:t xml:space="preserve">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706F3E" w:rsidRDefault="00751604" w:rsidP="00706F3E">
            <w:pPr>
              <w:widowControl w:val="0"/>
              <w:autoSpaceDE w:val="0"/>
              <w:autoSpaceDN w:val="0"/>
              <w:spacing w:after="0" w:line="240" w:lineRule="auto"/>
              <w:ind w:left="-86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06F3E">
              <w:rPr>
                <w:rFonts w:ascii="Times New Roman" w:eastAsia="Times New Roman" w:hAnsi="Times New Roman"/>
                <w:lang w:eastAsia="ru-RU"/>
              </w:rPr>
              <w:t xml:space="preserve">Обеспечение и повышение качества обслуживания (Проведение закупочных процедур и заключение по их итогам </w:t>
            </w:r>
            <w:proofErr w:type="spellStart"/>
            <w:r w:rsidRPr="00706F3E">
              <w:rPr>
                <w:rFonts w:ascii="Times New Roman" w:eastAsia="Times New Roman" w:hAnsi="Times New Roman"/>
                <w:lang w:eastAsia="ru-RU"/>
              </w:rPr>
              <w:t>муници-пальных</w:t>
            </w:r>
            <w:proofErr w:type="spellEnd"/>
            <w:r w:rsidRPr="00706F3E">
              <w:rPr>
                <w:rFonts w:ascii="Times New Roman" w:eastAsia="Times New Roman" w:hAnsi="Times New Roman"/>
                <w:lang w:eastAsia="ru-RU"/>
              </w:rPr>
              <w:t xml:space="preserve"> контрактов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751604" w:rsidRPr="004C22AB" w:rsidRDefault="00751604" w:rsidP="00706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6F3E">
              <w:rPr>
                <w:rFonts w:ascii="Times New Roman" w:hAnsi="Times New Roman"/>
              </w:rPr>
              <w:t>Оплата труда сотрудников, закупки товаров, работ, услуг в установленном порядке для нужд учреждения)</w:t>
            </w:r>
            <w:proofErr w:type="gramEnd"/>
          </w:p>
        </w:tc>
      </w:tr>
      <w:tr w:rsidR="00751604" w:rsidRPr="00D45849" w:rsidTr="00F44382">
        <w:trPr>
          <w:trHeight w:val="1545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Pr="00706F3E" w:rsidRDefault="00751604" w:rsidP="00A865F3">
            <w:pPr>
              <w:pStyle w:val="ConsPlusCell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0A3A06" w:rsidRDefault="00751604" w:rsidP="007857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C271A">
              <w:rPr>
                <w:rFonts w:ascii="Times New Roman" w:hAnsi="Times New Roman"/>
                <w:b/>
              </w:rPr>
              <w:t xml:space="preserve">64 </w:t>
            </w:r>
            <w:r w:rsidR="00785778">
              <w:rPr>
                <w:rFonts w:ascii="Times New Roman" w:hAnsi="Times New Roman"/>
                <w:b/>
              </w:rPr>
              <w:t>36</w:t>
            </w:r>
            <w:r w:rsidR="00BC271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7D33FD" w:rsidRDefault="00751604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D33FD">
              <w:rPr>
                <w:rFonts w:ascii="Times New Roman" w:hAnsi="Times New Roman"/>
              </w:rPr>
              <w:t xml:space="preserve">40 </w:t>
            </w:r>
            <w:r w:rsidR="00785778">
              <w:rPr>
                <w:rFonts w:ascii="Times New Roman" w:hAnsi="Times New Roman"/>
              </w:rPr>
              <w:t>597</w:t>
            </w:r>
          </w:p>
        </w:tc>
        <w:tc>
          <w:tcPr>
            <w:tcW w:w="1135" w:type="dxa"/>
            <w:shd w:val="clear" w:color="auto" w:fill="auto"/>
          </w:tcPr>
          <w:p w:rsidR="00583916" w:rsidRPr="007D33FD" w:rsidRDefault="00AE3619" w:rsidP="007D33F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en-US"/>
              </w:rPr>
            </w:pPr>
            <w:r w:rsidRPr="007D33FD">
              <w:rPr>
                <w:rFonts w:ascii="Times New Roman" w:hAnsi="Times New Roman"/>
              </w:rPr>
              <w:t xml:space="preserve">41 </w:t>
            </w:r>
            <w:r w:rsidR="007D33FD" w:rsidRPr="007D33FD">
              <w:rPr>
                <w:rFonts w:ascii="Times New Roman" w:hAnsi="Times New Roman"/>
              </w:rPr>
              <w:t>256</w:t>
            </w:r>
          </w:p>
        </w:tc>
        <w:tc>
          <w:tcPr>
            <w:tcW w:w="1134" w:type="dxa"/>
            <w:shd w:val="clear" w:color="auto" w:fill="auto"/>
          </w:tcPr>
          <w:p w:rsidR="00751604" w:rsidRPr="000A3A06" w:rsidRDefault="007D33FD" w:rsidP="00BC271A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 </w:t>
            </w:r>
            <w:r w:rsidR="00BC271A">
              <w:rPr>
                <w:rFonts w:ascii="Times New Roman" w:hAnsi="Times New Roman"/>
              </w:rPr>
              <w:t>256</w:t>
            </w:r>
          </w:p>
        </w:tc>
        <w:tc>
          <w:tcPr>
            <w:tcW w:w="1134" w:type="dxa"/>
          </w:tcPr>
          <w:p w:rsidR="00751604" w:rsidRPr="000A3A06" w:rsidRDefault="00D00C91" w:rsidP="00BC271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C271A">
              <w:rPr>
                <w:rFonts w:ascii="Times New Roman" w:hAnsi="Times New Roman"/>
              </w:rPr>
              <w:t>1 256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Pr="00706F3E" w:rsidRDefault="00751604" w:rsidP="007673E7">
            <w:pPr>
              <w:pStyle w:val="ConsPlusCell"/>
              <w:ind w:left="-108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Средства районного бюджета</w:t>
            </w:r>
            <w:r w:rsidRPr="00706F3E">
              <w:rPr>
                <w:sz w:val="22"/>
                <w:szCs w:val="22"/>
              </w:rPr>
              <w:br/>
            </w:r>
          </w:p>
        </w:tc>
        <w:tc>
          <w:tcPr>
            <w:tcW w:w="1135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15 217</w:t>
            </w:r>
          </w:p>
        </w:tc>
        <w:tc>
          <w:tcPr>
            <w:tcW w:w="1133" w:type="dxa"/>
            <w:shd w:val="clear" w:color="auto" w:fill="auto"/>
          </w:tcPr>
          <w:p w:rsidR="00751604" w:rsidRPr="00DC2631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C2631">
              <w:rPr>
                <w:rFonts w:ascii="Times New Roman" w:hAnsi="Times New Roman"/>
              </w:rPr>
              <w:t>42 269</w:t>
            </w:r>
          </w:p>
        </w:tc>
        <w:tc>
          <w:tcPr>
            <w:tcW w:w="993" w:type="dxa"/>
            <w:shd w:val="clear" w:color="auto" w:fill="auto"/>
          </w:tcPr>
          <w:p w:rsidR="00751604" w:rsidRPr="00DC2631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DC2631">
              <w:rPr>
                <w:rFonts w:ascii="Times New Roman" w:hAnsi="Times New Roman"/>
              </w:rPr>
              <w:t>42 269</w:t>
            </w:r>
          </w:p>
        </w:tc>
        <w:tc>
          <w:tcPr>
            <w:tcW w:w="992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1604" w:rsidRPr="000A3A06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935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Default="00751604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  <w:r w:rsidRPr="00706F3E">
              <w:rPr>
                <w:rFonts w:ascii="Times New Roman" w:hAnsi="Times New Roman"/>
                <w:b/>
                <w:i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i/>
              </w:rPr>
              <w:t>7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815650">
              <w:rPr>
                <w:rFonts w:ascii="Times New Roman" w:eastAsia="Times New Roman" w:hAnsi="Times New Roman"/>
                <w:lang w:eastAsia="ru-RU"/>
              </w:rPr>
              <w:t>Приведение кладбищ городского округа в соответствие с Порядком деятельности общественных кладбищ и крематориев на территории муниципального образования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06F3E">
              <w:rPr>
                <w:rFonts w:ascii="Times New Roman" w:hAnsi="Times New Roman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Default="00114019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BC271A">
              <w:rPr>
                <w:rFonts w:ascii="Times New Roman" w:hAnsi="Times New Roman"/>
                <w:b/>
              </w:rPr>
              <w:t xml:space="preserve">0 </w:t>
            </w:r>
            <w:r w:rsidR="00785778">
              <w:rPr>
                <w:rFonts w:ascii="Times New Roman" w:hAnsi="Times New Roman"/>
                <w:b/>
              </w:rPr>
              <w:t>23</w:t>
            </w:r>
            <w:r w:rsidR="00BC271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51604" w:rsidRPr="007644C4" w:rsidRDefault="00751604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31 103</w:t>
            </w:r>
          </w:p>
        </w:tc>
        <w:tc>
          <w:tcPr>
            <w:tcW w:w="992" w:type="dxa"/>
            <w:shd w:val="clear" w:color="auto" w:fill="auto"/>
          </w:tcPr>
          <w:p w:rsidR="00751604" w:rsidRDefault="00751604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785778">
              <w:rPr>
                <w:rFonts w:ascii="Times New Roman" w:hAnsi="Times New Roman"/>
                <w:b/>
              </w:rPr>
              <w:t>2 128</w:t>
            </w:r>
          </w:p>
        </w:tc>
        <w:tc>
          <w:tcPr>
            <w:tcW w:w="1135" w:type="dxa"/>
            <w:shd w:val="clear" w:color="auto" w:fill="auto"/>
          </w:tcPr>
          <w:p w:rsidR="00751604" w:rsidRDefault="007D33FD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35 669</w:t>
            </w:r>
          </w:p>
        </w:tc>
        <w:tc>
          <w:tcPr>
            <w:tcW w:w="1134" w:type="dxa"/>
            <w:shd w:val="clear" w:color="auto" w:fill="auto"/>
          </w:tcPr>
          <w:p w:rsidR="00751604" w:rsidRDefault="00114019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C271A">
              <w:rPr>
                <w:rFonts w:ascii="Times New Roman" w:hAnsi="Times New Roman"/>
                <w:b/>
              </w:rPr>
              <w:t>5 669</w:t>
            </w:r>
          </w:p>
        </w:tc>
        <w:tc>
          <w:tcPr>
            <w:tcW w:w="1134" w:type="dxa"/>
          </w:tcPr>
          <w:p w:rsidR="00751604" w:rsidRDefault="00751604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BC271A">
              <w:rPr>
                <w:rFonts w:ascii="Times New Roman" w:hAnsi="Times New Roman"/>
                <w:b/>
              </w:rPr>
              <w:t>5 669</w:t>
            </w:r>
          </w:p>
        </w:tc>
        <w:tc>
          <w:tcPr>
            <w:tcW w:w="1417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667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Pr="00706F3E" w:rsidRDefault="00751604" w:rsidP="00A865F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Default="00114019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C271A">
              <w:rPr>
                <w:rFonts w:ascii="Times New Roman" w:hAnsi="Times New Roman"/>
                <w:b/>
              </w:rPr>
              <w:t>3</w:t>
            </w:r>
            <w:r w:rsidR="00785778">
              <w:rPr>
                <w:rFonts w:ascii="Times New Roman" w:hAnsi="Times New Roman"/>
                <w:b/>
              </w:rPr>
              <w:t>9 13</w:t>
            </w:r>
            <w:r w:rsidR="00BC271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51604" w:rsidRPr="008802B6" w:rsidRDefault="00751604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51604" w:rsidRPr="008802B6" w:rsidRDefault="00751604" w:rsidP="0078577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3</w:t>
            </w:r>
            <w:r w:rsidR="00785778">
              <w:rPr>
                <w:rFonts w:ascii="Times New Roman" w:hAnsi="Times New Roman"/>
              </w:rPr>
              <w:t>2 128</w:t>
            </w:r>
          </w:p>
        </w:tc>
        <w:tc>
          <w:tcPr>
            <w:tcW w:w="1135" w:type="dxa"/>
            <w:shd w:val="clear" w:color="auto" w:fill="auto"/>
          </w:tcPr>
          <w:p w:rsidR="00751604" w:rsidRPr="008802B6" w:rsidRDefault="00114019" w:rsidP="00575CE0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35 669</w:t>
            </w:r>
          </w:p>
        </w:tc>
        <w:tc>
          <w:tcPr>
            <w:tcW w:w="1134" w:type="dxa"/>
            <w:shd w:val="clear" w:color="auto" w:fill="auto"/>
          </w:tcPr>
          <w:p w:rsidR="00751604" w:rsidRPr="008802B6" w:rsidRDefault="00751604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C271A">
              <w:rPr>
                <w:rFonts w:ascii="Times New Roman" w:hAnsi="Times New Roman"/>
              </w:rPr>
              <w:t>5 669</w:t>
            </w:r>
          </w:p>
        </w:tc>
        <w:tc>
          <w:tcPr>
            <w:tcW w:w="1134" w:type="dxa"/>
          </w:tcPr>
          <w:p w:rsidR="00751604" w:rsidRPr="008802B6" w:rsidRDefault="00751604" w:rsidP="00BC271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C271A">
              <w:rPr>
                <w:rFonts w:ascii="Times New Roman" w:hAnsi="Times New Roman"/>
              </w:rPr>
              <w:t>5 669</w:t>
            </w:r>
          </w:p>
        </w:tc>
        <w:tc>
          <w:tcPr>
            <w:tcW w:w="1417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898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Pr="00706F3E" w:rsidRDefault="00751604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</w:t>
            </w:r>
            <w:r>
              <w:rPr>
                <w:sz w:val="22"/>
                <w:szCs w:val="22"/>
              </w:rPr>
              <w:br/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Default="00751604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22 498</w:t>
            </w:r>
          </w:p>
        </w:tc>
        <w:tc>
          <w:tcPr>
            <w:tcW w:w="993" w:type="dxa"/>
            <w:shd w:val="clear" w:color="auto" w:fill="auto"/>
          </w:tcPr>
          <w:p w:rsidR="00751604" w:rsidRPr="008802B6" w:rsidRDefault="00751604" w:rsidP="0084745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 xml:space="preserve"> 498</w:t>
            </w:r>
          </w:p>
        </w:tc>
        <w:tc>
          <w:tcPr>
            <w:tcW w:w="992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1604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1337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Default="00751604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 w:rsidRPr="00706F3E">
              <w:rPr>
                <w:sz w:val="22"/>
                <w:szCs w:val="22"/>
              </w:rPr>
              <w:t>Средства бюджета</w:t>
            </w:r>
          </w:p>
          <w:p w:rsidR="00751604" w:rsidRDefault="00751604" w:rsidP="007673E7">
            <w:pPr>
              <w:pStyle w:val="ConsPlusCell"/>
              <w:tabs>
                <w:tab w:val="left" w:pos="-108"/>
              </w:tabs>
              <w:ind w:lef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Ильинское</w:t>
            </w:r>
            <w:proofErr w:type="spellEnd"/>
          </w:p>
          <w:p w:rsidR="00751604" w:rsidRPr="00706F3E" w:rsidRDefault="00751604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Default="00751604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7 000</w:t>
            </w:r>
          </w:p>
        </w:tc>
        <w:tc>
          <w:tcPr>
            <w:tcW w:w="993" w:type="dxa"/>
            <w:shd w:val="clear" w:color="auto" w:fill="auto"/>
          </w:tcPr>
          <w:p w:rsidR="00751604" w:rsidRPr="008802B6" w:rsidRDefault="00751604" w:rsidP="007673E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7 000</w:t>
            </w:r>
          </w:p>
        </w:tc>
        <w:tc>
          <w:tcPr>
            <w:tcW w:w="992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1604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1874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751604" w:rsidRDefault="00751604" w:rsidP="00C025DE">
            <w:pPr>
              <w:pStyle w:val="ConsPlusCell"/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</w:t>
            </w:r>
          </w:p>
          <w:p w:rsidR="00751604" w:rsidRPr="00A06EFA" w:rsidRDefault="00751604" w:rsidP="003B422A">
            <w:pPr>
              <w:pStyle w:val="ConsPlusCell"/>
              <w:ind w:firstLine="34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г/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Нахабино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1 605,0</w:t>
            </w:r>
          </w:p>
        </w:tc>
        <w:tc>
          <w:tcPr>
            <w:tcW w:w="993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8802B6">
              <w:rPr>
                <w:rFonts w:ascii="Times New Roman" w:hAnsi="Times New Roman"/>
              </w:rPr>
              <w:t>1 605,0</w:t>
            </w:r>
          </w:p>
        </w:tc>
        <w:tc>
          <w:tcPr>
            <w:tcW w:w="992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8802B6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51604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980DE7">
        <w:trPr>
          <w:trHeight w:val="1927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6F3E">
              <w:rPr>
                <w:rFonts w:ascii="Times New Roman" w:hAnsi="Times New Roman"/>
              </w:rPr>
              <w:t>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375C32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375C32">
              <w:rPr>
                <w:rFonts w:ascii="Times New Roman" w:hAnsi="Times New Roman"/>
                <w:b/>
              </w:rPr>
              <w:t>Мероприятие 1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72804">
              <w:rPr>
                <w:rFonts w:ascii="Times New Roman" w:eastAsia="Times New Roman" w:hAnsi="Times New Roman"/>
                <w:lang w:eastAsia="ru-RU"/>
              </w:rPr>
              <w:t>Соблюдение финансирования мероприятий по содержанию мест захоронений в размере, установленном нормативом расходов на содержание мест захоронения (на один га площади мест захоронения), в соответствии с Законом Московской области от 28.10.2011 № 176/2011-ОЗ «О нормативах стоимости предоставления муниципальных услуг, оказываемых за счет средств бюджетов муниципальных образований Московской области, применяемых при расчетах межбюджетных трансфертов»</w:t>
            </w:r>
            <w:proofErr w:type="gramEnd"/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7F475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104 </w:t>
            </w:r>
            <w:r w:rsidR="007F475D">
              <w:rPr>
                <w:rFonts w:ascii="Times New Roman" w:hAnsi="Times New Roman"/>
                <w:b/>
                <w:sz w:val="24"/>
                <w:szCs w:val="24"/>
              </w:rPr>
              <w:t>466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15 363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751604" w:rsidRPr="00114019" w:rsidRDefault="00F81CA7" w:rsidP="00F81CA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21 667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22 811 </w:t>
            </w: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23 810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Обеспечение и повышение качества обслуживания, создание благоприятных условий для посещения мест захоронений.</w:t>
            </w:r>
          </w:p>
        </w:tc>
      </w:tr>
      <w:tr w:rsidR="00751604" w:rsidRPr="00D45849" w:rsidTr="00F44382">
        <w:trPr>
          <w:trHeight w:val="1272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375C32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7F475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89 </w:t>
            </w:r>
            <w:r w:rsidR="007F475D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color w:val="000000"/>
                <w:sz w:val="24"/>
                <w:szCs w:val="24"/>
              </w:rPr>
              <w:t>20 815</w:t>
            </w:r>
          </w:p>
        </w:tc>
        <w:tc>
          <w:tcPr>
            <w:tcW w:w="1135" w:type="dxa"/>
            <w:shd w:val="clear" w:color="auto" w:fill="auto"/>
          </w:tcPr>
          <w:p w:rsidR="00751604" w:rsidRPr="00114019" w:rsidRDefault="00F81CA7" w:rsidP="00F81CA7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21 667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22 811</w:t>
            </w: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23 810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1064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375C32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7673E7">
            <w:pPr>
              <w:pStyle w:val="ConsPlusCell"/>
              <w:ind w:left="-108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13 075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13 758 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13 758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Средства бюджета г/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Нахабино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1 605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1 605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ind w:left="-119" w:firstLine="1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1080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6F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r w:rsidRPr="00FB0719">
              <w:rPr>
                <w:rFonts w:ascii="Times New Roman" w:hAnsi="Times New Roman"/>
                <w:b/>
              </w:rPr>
              <w:t>Мероприятие 2</w:t>
            </w:r>
          </w:p>
          <w:p w:rsidR="00751604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Транспортировка в морг, включая погрузоразгрузочные работы,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</w:t>
            </w:r>
            <w:proofErr w:type="spellStart"/>
            <w:r w:rsidRPr="000A3A06">
              <w:rPr>
                <w:rFonts w:ascii="Times New Roman" w:eastAsia="Times New Roman" w:hAnsi="Times New Roman"/>
                <w:lang w:eastAsia="ru-RU"/>
              </w:rPr>
              <w:t>судебно</w:t>
            </w:r>
            <w:proofErr w:type="spell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- медицинской экспертизы (исследования) и </w:t>
            </w:r>
            <w:proofErr w:type="spellStart"/>
            <w:proofErr w:type="gramStart"/>
            <w:r w:rsidRPr="000A3A06">
              <w:rPr>
                <w:rFonts w:ascii="Times New Roman" w:eastAsia="Times New Roman" w:hAnsi="Times New Roman"/>
                <w:lang w:eastAsia="ru-RU"/>
              </w:rPr>
              <w:t>патолого</w:t>
            </w:r>
            <w:proofErr w:type="spell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  <w:r w:rsidRPr="000A3A06">
              <w:t xml:space="preserve"> </w:t>
            </w:r>
            <w:r w:rsidRPr="000A3A06">
              <w:rPr>
                <w:rFonts w:ascii="Times New Roman" w:eastAsia="Times New Roman" w:hAnsi="Times New Roman"/>
                <w:lang w:eastAsia="ru-RU"/>
              </w:rPr>
              <w:t>анатомического</w:t>
            </w:r>
            <w:proofErr w:type="gramEnd"/>
            <w:r w:rsidRPr="000A3A06">
              <w:rPr>
                <w:rFonts w:ascii="Times New Roman" w:eastAsia="Times New Roman" w:hAnsi="Times New Roman"/>
                <w:lang w:eastAsia="ru-RU"/>
              </w:rPr>
              <w:t xml:space="preserve"> вскрытия (за исключением умерших в медицинских учреждениях) на территории</w:t>
            </w:r>
          </w:p>
          <w:p w:rsidR="00751604" w:rsidRPr="00FB0719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0A3A06">
              <w:rPr>
                <w:rFonts w:ascii="Times New Roman" w:eastAsia="Times New Roman" w:hAnsi="Times New Roman"/>
                <w:lang w:eastAsia="ru-RU"/>
              </w:rPr>
              <w:t>Красно</w:t>
            </w:r>
            <w:r>
              <w:rPr>
                <w:rFonts w:ascii="Times New Roman" w:eastAsia="Times New Roman" w:hAnsi="Times New Roman"/>
                <w:lang w:eastAsia="ru-RU"/>
              </w:rPr>
              <w:t>горск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751604" w:rsidRPr="0011401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51604" w:rsidRPr="00986069" w:rsidRDefault="00751604" w:rsidP="00A865F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986069" w:rsidRDefault="00751604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служба», специализированная служба по вопросам похоронного дела.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4C22AB" w:rsidRDefault="00751604" w:rsidP="004B2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Обеспечение и повышение качества обслуживания (погрузо-разгрузочные работы, транспортировка в морг).</w:t>
            </w:r>
          </w:p>
        </w:tc>
      </w:tr>
      <w:tr w:rsidR="00751604" w:rsidRPr="00D45849" w:rsidTr="00F44382">
        <w:trPr>
          <w:trHeight w:val="1280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  <w:shd w:val="clear" w:color="auto" w:fill="auto"/>
          </w:tcPr>
          <w:p w:rsidR="00751604" w:rsidRPr="0011401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971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7673E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819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6F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Pr="00A865F3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865F3">
              <w:rPr>
                <w:rFonts w:ascii="Times New Roman" w:hAnsi="Times New Roman"/>
                <w:b/>
                <w:color w:val="000000"/>
              </w:rPr>
              <w:t>Мероприятие 3</w:t>
            </w:r>
          </w:p>
          <w:p w:rsidR="00751604" w:rsidRPr="00A865F3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>Гарантированный перечень услуг по погребению умерших отдельных категорий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11401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4019">
              <w:rPr>
                <w:rFonts w:ascii="Times New Roman" w:hAnsi="Times New Roman"/>
                <w:b/>
                <w:sz w:val="24"/>
                <w:szCs w:val="24"/>
              </w:rPr>
              <w:t>373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751604" w:rsidRPr="00114019" w:rsidRDefault="00114019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751604" w:rsidRPr="00114019" w:rsidRDefault="00114019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751604" w:rsidRPr="00114019" w:rsidRDefault="00114019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4019"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служба», специализированная служба по вопросам 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похоронного</w:t>
            </w:r>
            <w:proofErr w:type="gramEnd"/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2C50F6" w:rsidRDefault="00751604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2C50F6">
              <w:rPr>
                <w:rFonts w:ascii="Times New Roman" w:hAnsi="Times New Roman"/>
              </w:rPr>
              <w:t>Обеспечение и повышение качества обслуживания (оформление документ</w:t>
            </w:r>
            <w:proofErr w:type="gramStart"/>
            <w:r w:rsidRPr="002C50F6">
              <w:rPr>
                <w:rFonts w:ascii="Times New Roman" w:hAnsi="Times New Roman"/>
              </w:rPr>
              <w:t>.</w:t>
            </w:r>
            <w:proofErr w:type="gramEnd"/>
            <w:r w:rsidRPr="002C50F6">
              <w:rPr>
                <w:rFonts w:ascii="Times New Roman" w:hAnsi="Times New Roman"/>
              </w:rPr>
              <w:t xml:space="preserve"> </w:t>
            </w:r>
            <w:proofErr w:type="gramStart"/>
            <w:r w:rsidRPr="002C50F6">
              <w:rPr>
                <w:rFonts w:ascii="Times New Roman" w:hAnsi="Times New Roman"/>
              </w:rPr>
              <w:t>п</w:t>
            </w:r>
            <w:proofErr w:type="gramEnd"/>
            <w:r w:rsidRPr="002C50F6">
              <w:rPr>
                <w:rFonts w:ascii="Times New Roman" w:hAnsi="Times New Roman"/>
              </w:rPr>
              <w:t>редоставление и доставка в один адрес гроба и др. предметов, перевозка тела, копка могилы и установка ритуального регистр. знака)</w:t>
            </w:r>
          </w:p>
        </w:tc>
      </w:tr>
      <w:tr w:rsidR="00751604" w:rsidRPr="00D45849" w:rsidTr="00F44382">
        <w:trPr>
          <w:trHeight w:val="819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A865F3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11401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47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14019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5" w:type="dxa"/>
            <w:shd w:val="clear" w:color="auto" w:fill="auto"/>
          </w:tcPr>
          <w:p w:rsidR="00751604" w:rsidRPr="00114019" w:rsidRDefault="00114019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  <w:shd w:val="clear" w:color="auto" w:fill="auto"/>
          </w:tcPr>
          <w:p w:rsidR="00751604" w:rsidRPr="00114019" w:rsidRDefault="00114019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134" w:type="dxa"/>
          </w:tcPr>
          <w:p w:rsidR="00751604" w:rsidRPr="00114019" w:rsidRDefault="00114019" w:rsidP="00A512E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4019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509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6F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3D39">
              <w:rPr>
                <w:rFonts w:ascii="Times New Roman" w:hAnsi="Times New Roman"/>
                <w:b/>
              </w:rPr>
              <w:t>Мероприятие 4</w:t>
            </w:r>
          </w:p>
          <w:p w:rsidR="00751604" w:rsidRPr="00423D39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кладбищ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114019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9E34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577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9E34B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51604" w:rsidRPr="00F44382" w:rsidRDefault="00751604" w:rsidP="005A56B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382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="0078577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751604" w:rsidRPr="00F948B1" w:rsidRDefault="00AE3619" w:rsidP="00114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8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14019" w:rsidRPr="00F948B1">
              <w:rPr>
                <w:rFonts w:ascii="Times New Roman" w:hAnsi="Times New Roman"/>
                <w:b/>
                <w:sz w:val="24"/>
                <w:szCs w:val="24"/>
              </w:rPr>
              <w:t>3 632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34B9">
              <w:rPr>
                <w:rFonts w:ascii="Times New Roman" w:hAnsi="Times New Roman"/>
                <w:b/>
                <w:sz w:val="24"/>
                <w:szCs w:val="24"/>
              </w:rPr>
              <w:t>2 488</w:t>
            </w:r>
          </w:p>
        </w:tc>
        <w:tc>
          <w:tcPr>
            <w:tcW w:w="1134" w:type="dxa"/>
          </w:tcPr>
          <w:p w:rsidR="00751604" w:rsidRPr="00986069" w:rsidRDefault="00751604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34B9">
              <w:rPr>
                <w:rFonts w:ascii="Times New Roman" w:hAnsi="Times New Roman"/>
                <w:b/>
                <w:sz w:val="24"/>
                <w:szCs w:val="24"/>
              </w:rPr>
              <w:t>1 489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986069" w:rsidRDefault="00751604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  <w:p w:rsidR="00751604" w:rsidRPr="00986069" w:rsidRDefault="00751604" w:rsidP="002C50F6">
            <w:pPr>
              <w:tabs>
                <w:tab w:val="left" w:pos="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4C22AB" w:rsidRDefault="00751604" w:rsidP="002C5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Обеспечение и повышение качества обслуживания</w:t>
            </w:r>
            <w:r>
              <w:rPr>
                <w:rFonts w:ascii="Times New Roman" w:hAnsi="Times New Roman"/>
              </w:rPr>
              <w:t>, создание благоприятных условий для посещения мест захоронений</w:t>
            </w:r>
          </w:p>
        </w:tc>
      </w:tr>
      <w:tr w:rsidR="00751604" w:rsidRPr="00D45849" w:rsidTr="00F44382">
        <w:trPr>
          <w:trHeight w:val="665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0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85778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48 55</w:t>
            </w:r>
            <w:r w:rsidR="009E34B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7857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85778">
              <w:rPr>
                <w:rFonts w:ascii="Times New Roman" w:hAnsi="Times New Roman"/>
                <w:sz w:val="24"/>
                <w:szCs w:val="24"/>
              </w:rPr>
              <w:t>94</w:t>
            </w:r>
            <w:r w:rsidRPr="009860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751604" w:rsidRPr="00F948B1" w:rsidRDefault="00AE3619" w:rsidP="001140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8B1">
              <w:rPr>
                <w:rFonts w:ascii="Times New Roman" w:hAnsi="Times New Roman"/>
                <w:sz w:val="24"/>
                <w:szCs w:val="24"/>
              </w:rPr>
              <w:t>1</w:t>
            </w:r>
            <w:r w:rsidR="00114019" w:rsidRPr="00F948B1">
              <w:rPr>
                <w:rFonts w:ascii="Times New Roman" w:hAnsi="Times New Roman"/>
                <w:sz w:val="24"/>
                <w:szCs w:val="24"/>
              </w:rPr>
              <w:t>3 632</w:t>
            </w: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</w:t>
            </w:r>
            <w:r w:rsidR="009E34B9">
              <w:rPr>
                <w:rFonts w:ascii="Times New Roman" w:hAnsi="Times New Roman"/>
                <w:sz w:val="24"/>
                <w:szCs w:val="24"/>
              </w:rPr>
              <w:t>2 488</w:t>
            </w:r>
          </w:p>
        </w:tc>
        <w:tc>
          <w:tcPr>
            <w:tcW w:w="1134" w:type="dxa"/>
          </w:tcPr>
          <w:p w:rsidR="00751604" w:rsidRPr="00986069" w:rsidRDefault="00751604" w:rsidP="009E34B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1</w:t>
            </w:r>
            <w:r w:rsidR="009E34B9">
              <w:rPr>
                <w:rFonts w:ascii="Times New Roman" w:hAnsi="Times New Roman"/>
                <w:sz w:val="24"/>
                <w:szCs w:val="24"/>
              </w:rPr>
              <w:t>1 489</w:t>
            </w: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51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 w:rsidR="00751604" w:rsidRPr="00986069" w:rsidRDefault="00751604" w:rsidP="00CE1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районногобюджета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A460A3" w:rsidRDefault="00751604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0A3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993" w:type="dxa"/>
            <w:shd w:val="clear" w:color="auto" w:fill="auto"/>
          </w:tcPr>
          <w:p w:rsidR="00751604" w:rsidRPr="00A460A3" w:rsidRDefault="00751604" w:rsidP="0011274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8 357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Средства бюджета с/</w:t>
            </w:r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BD5FCF">
        <w:trPr>
          <w:trHeight w:val="539"/>
        </w:trPr>
        <w:tc>
          <w:tcPr>
            <w:tcW w:w="567" w:type="dxa"/>
            <w:vMerge w:val="restart"/>
            <w:shd w:val="clear" w:color="auto" w:fill="auto"/>
          </w:tcPr>
          <w:p w:rsidR="00751604" w:rsidRPr="00706F3E" w:rsidRDefault="00751604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51604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3D39">
              <w:rPr>
                <w:rFonts w:ascii="Times New Roman" w:hAnsi="Times New Roman"/>
                <w:b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  <w:p w:rsidR="00751604" w:rsidRPr="00706F3E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3A06">
              <w:rPr>
                <w:rFonts w:ascii="Times New Roman" w:eastAsia="Times New Roman" w:hAnsi="Times New Roman"/>
                <w:lang w:eastAsia="ru-RU"/>
              </w:rPr>
              <w:t>Уход за захоронениями малоимущих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</w:t>
            </w: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751604" w:rsidRPr="00BD5FCF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FC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751604" w:rsidRPr="00BD5FCF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FCF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51604" w:rsidRPr="00986069" w:rsidRDefault="00751604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Красногорская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похоронная служба»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A06">
              <w:rPr>
                <w:rFonts w:ascii="Times New Roman" w:hAnsi="Times New Roman"/>
              </w:rPr>
              <w:t>Создание благоприятных условий для посещения мест захоронений (ремонт цветников, лавочек, укладка плитки, покраска ограды, столика, лавочки, работы по планировке подходов к захоронению и т.д.)</w:t>
            </w:r>
          </w:p>
        </w:tc>
      </w:tr>
      <w:tr w:rsidR="00751604" w:rsidRPr="00D45849" w:rsidTr="00F44382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751604" w:rsidRDefault="00751604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51604" w:rsidRPr="00423D39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986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Средства районного бюджета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1604" w:rsidRPr="004C22AB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604" w:rsidRPr="00D45849" w:rsidTr="00F44382">
        <w:trPr>
          <w:trHeight w:val="501"/>
        </w:trPr>
        <w:tc>
          <w:tcPr>
            <w:tcW w:w="567" w:type="dxa"/>
            <w:shd w:val="clear" w:color="auto" w:fill="auto"/>
          </w:tcPr>
          <w:p w:rsidR="00751604" w:rsidRPr="00706F3E" w:rsidRDefault="00751604" w:rsidP="00BD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706F3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</w:t>
            </w:r>
            <w:r w:rsidRPr="00706F3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51604" w:rsidRPr="00423D39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23D39">
              <w:rPr>
                <w:rFonts w:ascii="Times New Roman" w:hAnsi="Times New Roman"/>
                <w:b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  <w:p w:rsidR="00751604" w:rsidRPr="00986069" w:rsidRDefault="00751604" w:rsidP="00980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проведении работ по оформлению права собственности городского округа Красногорск на земельные участки под кладбищами в соответствии</w:t>
            </w:r>
            <w:proofErr w:type="gramEnd"/>
            <w:r w:rsidRPr="0098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законодательством Российской Федерации</w:t>
            </w:r>
          </w:p>
        </w:tc>
        <w:tc>
          <w:tcPr>
            <w:tcW w:w="850" w:type="dxa"/>
            <w:shd w:val="clear" w:color="auto" w:fill="auto"/>
          </w:tcPr>
          <w:p w:rsidR="00751604" w:rsidRPr="00706F3E" w:rsidRDefault="00751604" w:rsidP="00A86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751604" w:rsidRPr="00986069" w:rsidRDefault="00751604" w:rsidP="00A865F3">
            <w:pPr>
              <w:pStyle w:val="ConsPlusCell"/>
              <w:rPr>
                <w:sz w:val="24"/>
                <w:szCs w:val="24"/>
              </w:rPr>
            </w:pPr>
            <w:r w:rsidRPr="00986069">
              <w:rPr>
                <w:sz w:val="24"/>
                <w:szCs w:val="24"/>
              </w:rPr>
              <w:t>Бюджет Округа</w:t>
            </w:r>
          </w:p>
        </w:tc>
        <w:tc>
          <w:tcPr>
            <w:tcW w:w="1135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51604" w:rsidRPr="00986069" w:rsidRDefault="00751604" w:rsidP="00A865F3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shd w:val="clear" w:color="auto" w:fill="auto"/>
          </w:tcPr>
          <w:p w:rsidR="00751604" w:rsidRPr="00986069" w:rsidRDefault="00751604" w:rsidP="00871A5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>В пределах средств, предусмотренных на основную деятельность исполнителей</w:t>
            </w:r>
          </w:p>
        </w:tc>
        <w:tc>
          <w:tcPr>
            <w:tcW w:w="1417" w:type="dxa"/>
            <w:shd w:val="clear" w:color="auto" w:fill="auto"/>
          </w:tcPr>
          <w:p w:rsidR="00751604" w:rsidRPr="00986069" w:rsidRDefault="00751604" w:rsidP="0087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земельно</w:t>
            </w:r>
            <w:proofErr w:type="spell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– имущественных отношений, </w:t>
            </w:r>
          </w:p>
          <w:p w:rsidR="00751604" w:rsidRPr="00986069" w:rsidRDefault="00751604" w:rsidP="00871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986069">
              <w:rPr>
                <w:rFonts w:ascii="Times New Roman" w:hAnsi="Times New Roman"/>
                <w:sz w:val="24"/>
                <w:szCs w:val="24"/>
              </w:rPr>
              <w:t xml:space="preserve">управление по </w:t>
            </w:r>
            <w:proofErr w:type="spellStart"/>
            <w:proofErr w:type="gramStart"/>
            <w:r w:rsidRPr="00986069">
              <w:rPr>
                <w:rFonts w:ascii="Times New Roman" w:hAnsi="Times New Roman"/>
                <w:sz w:val="24"/>
                <w:szCs w:val="24"/>
              </w:rPr>
              <w:t>инвести-циям</w:t>
            </w:r>
            <w:proofErr w:type="spellEnd"/>
            <w:proofErr w:type="gramEnd"/>
            <w:r w:rsidRPr="00986069">
              <w:rPr>
                <w:rFonts w:ascii="Times New Roman" w:hAnsi="Times New Roman"/>
                <w:sz w:val="24"/>
                <w:szCs w:val="24"/>
              </w:rPr>
              <w:t xml:space="preserve"> и раз-витию </w:t>
            </w:r>
            <w:proofErr w:type="spellStart"/>
            <w:r w:rsidRPr="00986069">
              <w:rPr>
                <w:rFonts w:ascii="Times New Roman" w:hAnsi="Times New Roman"/>
                <w:sz w:val="24"/>
                <w:szCs w:val="24"/>
              </w:rPr>
              <w:t>предприни-мательства</w:t>
            </w:r>
            <w:proofErr w:type="spellEnd"/>
          </w:p>
        </w:tc>
        <w:tc>
          <w:tcPr>
            <w:tcW w:w="1963" w:type="dxa"/>
            <w:shd w:val="clear" w:color="auto" w:fill="auto"/>
          </w:tcPr>
          <w:p w:rsidR="00751604" w:rsidRPr="004C22AB" w:rsidRDefault="00751604" w:rsidP="00FD2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/>
              <w:rPr>
                <w:rFonts w:ascii="Times New Roman" w:hAnsi="Times New Roman"/>
                <w:sz w:val="20"/>
                <w:szCs w:val="20"/>
              </w:rPr>
            </w:pPr>
            <w:r w:rsidRPr="00871A51">
              <w:rPr>
                <w:rFonts w:ascii="Times New Roman" w:hAnsi="Times New Roman"/>
                <w:sz w:val="20"/>
                <w:szCs w:val="20"/>
              </w:rPr>
              <w:t xml:space="preserve">100 % оформление земельных участков под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71A51">
              <w:rPr>
                <w:rFonts w:ascii="Times New Roman" w:hAnsi="Times New Roman"/>
                <w:sz w:val="20"/>
                <w:szCs w:val="20"/>
              </w:rPr>
              <w:t>униципальными кладбищами. Выполнение требований, возложенных на органы местного самоуправления в соответствии с Постановлением Правительства МО от 30.12.2014 № 1178/52 «Об утверждении порядка деятельности общественных кладбищ и крематориев на территории МО»</w:t>
            </w:r>
          </w:p>
        </w:tc>
      </w:tr>
    </w:tbl>
    <w:p w:rsidR="00E54BBB" w:rsidRDefault="00E54BBB" w:rsidP="00FD29BF">
      <w:pPr>
        <w:pStyle w:val="ConsPlusNormal"/>
        <w:jc w:val="right"/>
        <w:rPr>
          <w:rFonts w:ascii="Times New Roman" w:hAnsi="Times New Roman"/>
        </w:rPr>
      </w:pPr>
      <w:bookmarkStart w:id="9" w:name="P987"/>
      <w:bookmarkEnd w:id="9"/>
    </w:p>
    <w:sectPr w:rsidR="00E54BBB" w:rsidSect="00716ECE">
      <w:pgSz w:w="16838" w:h="11906" w:orient="landscape" w:code="9"/>
      <w:pgMar w:top="567" w:right="678" w:bottom="568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78" w:rsidRDefault="00785778" w:rsidP="001F6E51">
      <w:pPr>
        <w:spacing w:after="0" w:line="240" w:lineRule="auto"/>
      </w:pPr>
      <w:r>
        <w:separator/>
      </w:r>
    </w:p>
    <w:p w:rsidR="00785778" w:rsidRDefault="00785778"/>
  </w:endnote>
  <w:endnote w:type="continuationSeparator" w:id="0">
    <w:p w:rsidR="00785778" w:rsidRDefault="00785778" w:rsidP="001F6E51">
      <w:pPr>
        <w:spacing w:after="0" w:line="240" w:lineRule="auto"/>
      </w:pPr>
      <w:r>
        <w:continuationSeparator/>
      </w:r>
    </w:p>
    <w:p w:rsidR="00785778" w:rsidRDefault="00785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78" w:rsidRDefault="00785778">
    <w:pPr>
      <w:pStyle w:val="a5"/>
    </w:pPr>
  </w:p>
  <w:p w:rsidR="00785778" w:rsidRDefault="007857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78" w:rsidRDefault="00785778" w:rsidP="001F6E51">
      <w:pPr>
        <w:spacing w:after="0" w:line="240" w:lineRule="auto"/>
      </w:pPr>
      <w:r>
        <w:separator/>
      </w:r>
    </w:p>
    <w:p w:rsidR="00785778" w:rsidRDefault="00785778"/>
  </w:footnote>
  <w:footnote w:type="continuationSeparator" w:id="0">
    <w:p w:rsidR="00785778" w:rsidRDefault="00785778" w:rsidP="001F6E51">
      <w:pPr>
        <w:spacing w:after="0" w:line="240" w:lineRule="auto"/>
      </w:pPr>
      <w:r>
        <w:continuationSeparator/>
      </w:r>
    </w:p>
    <w:p w:rsidR="00785778" w:rsidRDefault="007857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DF"/>
    <w:rsid w:val="00000AA2"/>
    <w:rsid w:val="00001D09"/>
    <w:rsid w:val="000100A5"/>
    <w:rsid w:val="000135BA"/>
    <w:rsid w:val="00014F03"/>
    <w:rsid w:val="00026381"/>
    <w:rsid w:val="00031699"/>
    <w:rsid w:val="00032CB4"/>
    <w:rsid w:val="00034F5F"/>
    <w:rsid w:val="00036CDD"/>
    <w:rsid w:val="00037295"/>
    <w:rsid w:val="00037E96"/>
    <w:rsid w:val="000419D8"/>
    <w:rsid w:val="00046123"/>
    <w:rsid w:val="000461D8"/>
    <w:rsid w:val="000468CE"/>
    <w:rsid w:val="000512F5"/>
    <w:rsid w:val="00052F90"/>
    <w:rsid w:val="00053EBE"/>
    <w:rsid w:val="000558E4"/>
    <w:rsid w:val="00060B8D"/>
    <w:rsid w:val="00067114"/>
    <w:rsid w:val="00067D66"/>
    <w:rsid w:val="000702E9"/>
    <w:rsid w:val="00070870"/>
    <w:rsid w:val="00073081"/>
    <w:rsid w:val="0007512F"/>
    <w:rsid w:val="00076366"/>
    <w:rsid w:val="000773F6"/>
    <w:rsid w:val="0008076C"/>
    <w:rsid w:val="00085A42"/>
    <w:rsid w:val="0008605D"/>
    <w:rsid w:val="00087299"/>
    <w:rsid w:val="0009011E"/>
    <w:rsid w:val="00090A6E"/>
    <w:rsid w:val="00090D29"/>
    <w:rsid w:val="000A0206"/>
    <w:rsid w:val="000A037B"/>
    <w:rsid w:val="000A6502"/>
    <w:rsid w:val="000B1499"/>
    <w:rsid w:val="000B177F"/>
    <w:rsid w:val="000B53B4"/>
    <w:rsid w:val="000B5726"/>
    <w:rsid w:val="000B6E69"/>
    <w:rsid w:val="000B7B26"/>
    <w:rsid w:val="000B7E71"/>
    <w:rsid w:val="000D6077"/>
    <w:rsid w:val="000E0D7B"/>
    <w:rsid w:val="000E2C0E"/>
    <w:rsid w:val="000E49C0"/>
    <w:rsid w:val="000E7EB0"/>
    <w:rsid w:val="000F0190"/>
    <w:rsid w:val="000F3C84"/>
    <w:rsid w:val="000F6314"/>
    <w:rsid w:val="00112676"/>
    <w:rsid w:val="00112740"/>
    <w:rsid w:val="00114019"/>
    <w:rsid w:val="001177C7"/>
    <w:rsid w:val="00120E58"/>
    <w:rsid w:val="00132376"/>
    <w:rsid w:val="00133BBC"/>
    <w:rsid w:val="00135B8D"/>
    <w:rsid w:val="00141358"/>
    <w:rsid w:val="00144054"/>
    <w:rsid w:val="001538D2"/>
    <w:rsid w:val="001547CF"/>
    <w:rsid w:val="0015793F"/>
    <w:rsid w:val="00163172"/>
    <w:rsid w:val="00163B00"/>
    <w:rsid w:val="00180374"/>
    <w:rsid w:val="00181CDF"/>
    <w:rsid w:val="00193C1A"/>
    <w:rsid w:val="00195143"/>
    <w:rsid w:val="00196738"/>
    <w:rsid w:val="001A3811"/>
    <w:rsid w:val="001B4734"/>
    <w:rsid w:val="001C2026"/>
    <w:rsid w:val="001C45E1"/>
    <w:rsid w:val="001C7218"/>
    <w:rsid w:val="001D6172"/>
    <w:rsid w:val="001E4EA4"/>
    <w:rsid w:val="001F1A7E"/>
    <w:rsid w:val="001F3B2E"/>
    <w:rsid w:val="001F5932"/>
    <w:rsid w:val="001F692F"/>
    <w:rsid w:val="001F6E51"/>
    <w:rsid w:val="002013E3"/>
    <w:rsid w:val="002049B0"/>
    <w:rsid w:val="00204A1F"/>
    <w:rsid w:val="002066F7"/>
    <w:rsid w:val="00212D1E"/>
    <w:rsid w:val="00215A70"/>
    <w:rsid w:val="0022187A"/>
    <w:rsid w:val="002234E0"/>
    <w:rsid w:val="00226FA3"/>
    <w:rsid w:val="00230AFC"/>
    <w:rsid w:val="002312CE"/>
    <w:rsid w:val="0023161E"/>
    <w:rsid w:val="002321EF"/>
    <w:rsid w:val="002342BE"/>
    <w:rsid w:val="0023486E"/>
    <w:rsid w:val="00236411"/>
    <w:rsid w:val="0024140E"/>
    <w:rsid w:val="00241DD1"/>
    <w:rsid w:val="0025002C"/>
    <w:rsid w:val="00253AA4"/>
    <w:rsid w:val="0025476C"/>
    <w:rsid w:val="0025512B"/>
    <w:rsid w:val="00265079"/>
    <w:rsid w:val="00265871"/>
    <w:rsid w:val="002660AD"/>
    <w:rsid w:val="00267B46"/>
    <w:rsid w:val="0027279C"/>
    <w:rsid w:val="00274EF7"/>
    <w:rsid w:val="00274F82"/>
    <w:rsid w:val="00275537"/>
    <w:rsid w:val="00277A17"/>
    <w:rsid w:val="0028382B"/>
    <w:rsid w:val="00284D34"/>
    <w:rsid w:val="002901BD"/>
    <w:rsid w:val="00295DD6"/>
    <w:rsid w:val="002A2A6B"/>
    <w:rsid w:val="002A4EA5"/>
    <w:rsid w:val="002A5629"/>
    <w:rsid w:val="002B41AD"/>
    <w:rsid w:val="002B4211"/>
    <w:rsid w:val="002B5272"/>
    <w:rsid w:val="002B57DD"/>
    <w:rsid w:val="002B6805"/>
    <w:rsid w:val="002B7332"/>
    <w:rsid w:val="002C3CE7"/>
    <w:rsid w:val="002C46E3"/>
    <w:rsid w:val="002C50F6"/>
    <w:rsid w:val="002E186B"/>
    <w:rsid w:val="002E67C9"/>
    <w:rsid w:val="002E6BFF"/>
    <w:rsid w:val="002F1E53"/>
    <w:rsid w:val="00302FFE"/>
    <w:rsid w:val="00307B0C"/>
    <w:rsid w:val="00313A57"/>
    <w:rsid w:val="00314E78"/>
    <w:rsid w:val="003151F8"/>
    <w:rsid w:val="00337498"/>
    <w:rsid w:val="0035041A"/>
    <w:rsid w:val="00352BCA"/>
    <w:rsid w:val="003534EE"/>
    <w:rsid w:val="003548AD"/>
    <w:rsid w:val="00361C6C"/>
    <w:rsid w:val="00362F28"/>
    <w:rsid w:val="0036353A"/>
    <w:rsid w:val="00365476"/>
    <w:rsid w:val="00365A9F"/>
    <w:rsid w:val="003744B9"/>
    <w:rsid w:val="00375C32"/>
    <w:rsid w:val="00375F91"/>
    <w:rsid w:val="003772D9"/>
    <w:rsid w:val="00381141"/>
    <w:rsid w:val="00390D89"/>
    <w:rsid w:val="00397CC0"/>
    <w:rsid w:val="00397F9E"/>
    <w:rsid w:val="003A31D9"/>
    <w:rsid w:val="003A4193"/>
    <w:rsid w:val="003B422A"/>
    <w:rsid w:val="003B477E"/>
    <w:rsid w:val="003B5729"/>
    <w:rsid w:val="003E53BF"/>
    <w:rsid w:val="003F13FA"/>
    <w:rsid w:val="003F2648"/>
    <w:rsid w:val="003F46DD"/>
    <w:rsid w:val="00400634"/>
    <w:rsid w:val="00402C03"/>
    <w:rsid w:val="00410AF2"/>
    <w:rsid w:val="004121A7"/>
    <w:rsid w:val="004201AF"/>
    <w:rsid w:val="00423D39"/>
    <w:rsid w:val="0043122C"/>
    <w:rsid w:val="00436FAB"/>
    <w:rsid w:val="00441FCD"/>
    <w:rsid w:val="004428A0"/>
    <w:rsid w:val="00450BBE"/>
    <w:rsid w:val="0045317B"/>
    <w:rsid w:val="0045453F"/>
    <w:rsid w:val="00455921"/>
    <w:rsid w:val="0045681C"/>
    <w:rsid w:val="00464122"/>
    <w:rsid w:val="00466A8F"/>
    <w:rsid w:val="00467AB6"/>
    <w:rsid w:val="00474EBC"/>
    <w:rsid w:val="00477F4D"/>
    <w:rsid w:val="0048051D"/>
    <w:rsid w:val="004814D5"/>
    <w:rsid w:val="00482EFE"/>
    <w:rsid w:val="00483484"/>
    <w:rsid w:val="004853F7"/>
    <w:rsid w:val="004854E6"/>
    <w:rsid w:val="004928E9"/>
    <w:rsid w:val="004946B7"/>
    <w:rsid w:val="00494D1A"/>
    <w:rsid w:val="00494D98"/>
    <w:rsid w:val="00495AF2"/>
    <w:rsid w:val="004A0BF8"/>
    <w:rsid w:val="004A3BC5"/>
    <w:rsid w:val="004A422F"/>
    <w:rsid w:val="004A440F"/>
    <w:rsid w:val="004B1E56"/>
    <w:rsid w:val="004B2166"/>
    <w:rsid w:val="004B44A9"/>
    <w:rsid w:val="004B450A"/>
    <w:rsid w:val="004C08CB"/>
    <w:rsid w:val="004C1714"/>
    <w:rsid w:val="004C22AB"/>
    <w:rsid w:val="004C2602"/>
    <w:rsid w:val="004C4444"/>
    <w:rsid w:val="004D189C"/>
    <w:rsid w:val="004D2B3E"/>
    <w:rsid w:val="004D78AD"/>
    <w:rsid w:val="004F7968"/>
    <w:rsid w:val="005016DE"/>
    <w:rsid w:val="005017E9"/>
    <w:rsid w:val="00514779"/>
    <w:rsid w:val="005152A3"/>
    <w:rsid w:val="00516C87"/>
    <w:rsid w:val="005209BB"/>
    <w:rsid w:val="00522B21"/>
    <w:rsid w:val="0052760B"/>
    <w:rsid w:val="005340A2"/>
    <w:rsid w:val="00534EBF"/>
    <w:rsid w:val="00534EEC"/>
    <w:rsid w:val="00535020"/>
    <w:rsid w:val="00535C0C"/>
    <w:rsid w:val="00544A8B"/>
    <w:rsid w:val="00550357"/>
    <w:rsid w:val="00551FB7"/>
    <w:rsid w:val="00552250"/>
    <w:rsid w:val="0055431A"/>
    <w:rsid w:val="00555950"/>
    <w:rsid w:val="0055645E"/>
    <w:rsid w:val="00562134"/>
    <w:rsid w:val="00566560"/>
    <w:rsid w:val="00572B2D"/>
    <w:rsid w:val="00574583"/>
    <w:rsid w:val="00575CE0"/>
    <w:rsid w:val="005778D4"/>
    <w:rsid w:val="00583916"/>
    <w:rsid w:val="00584DA2"/>
    <w:rsid w:val="0058648D"/>
    <w:rsid w:val="00586B3A"/>
    <w:rsid w:val="00587496"/>
    <w:rsid w:val="00596322"/>
    <w:rsid w:val="00596CB3"/>
    <w:rsid w:val="00597213"/>
    <w:rsid w:val="005A1B77"/>
    <w:rsid w:val="005A56B0"/>
    <w:rsid w:val="005B03A8"/>
    <w:rsid w:val="005B0A1C"/>
    <w:rsid w:val="005B243B"/>
    <w:rsid w:val="005B26A8"/>
    <w:rsid w:val="005B3DAF"/>
    <w:rsid w:val="005C32FA"/>
    <w:rsid w:val="005C42DC"/>
    <w:rsid w:val="005C7213"/>
    <w:rsid w:val="005D5F46"/>
    <w:rsid w:val="005D6FB2"/>
    <w:rsid w:val="005D7710"/>
    <w:rsid w:val="005D7E31"/>
    <w:rsid w:val="005E546E"/>
    <w:rsid w:val="005F1F60"/>
    <w:rsid w:val="0060491A"/>
    <w:rsid w:val="00620CD7"/>
    <w:rsid w:val="00623F11"/>
    <w:rsid w:val="00633BAF"/>
    <w:rsid w:val="00634196"/>
    <w:rsid w:val="006341D2"/>
    <w:rsid w:val="00635978"/>
    <w:rsid w:val="00636B90"/>
    <w:rsid w:val="00641512"/>
    <w:rsid w:val="00642B66"/>
    <w:rsid w:val="00651FF1"/>
    <w:rsid w:val="00654922"/>
    <w:rsid w:val="0066067A"/>
    <w:rsid w:val="006609E5"/>
    <w:rsid w:val="006638A7"/>
    <w:rsid w:val="0066484B"/>
    <w:rsid w:val="00670692"/>
    <w:rsid w:val="006732E7"/>
    <w:rsid w:val="006736F9"/>
    <w:rsid w:val="006776B3"/>
    <w:rsid w:val="0069118A"/>
    <w:rsid w:val="00692591"/>
    <w:rsid w:val="00697308"/>
    <w:rsid w:val="006A0D30"/>
    <w:rsid w:val="006A0F3F"/>
    <w:rsid w:val="006A7681"/>
    <w:rsid w:val="006B004B"/>
    <w:rsid w:val="006B3B21"/>
    <w:rsid w:val="006B72CB"/>
    <w:rsid w:val="006C23D7"/>
    <w:rsid w:val="006C63D4"/>
    <w:rsid w:val="006D1F10"/>
    <w:rsid w:val="006D70D5"/>
    <w:rsid w:val="006E190E"/>
    <w:rsid w:val="006E4948"/>
    <w:rsid w:val="006F1B35"/>
    <w:rsid w:val="006F238F"/>
    <w:rsid w:val="006F4B36"/>
    <w:rsid w:val="00701864"/>
    <w:rsid w:val="00703BCE"/>
    <w:rsid w:val="00706F3E"/>
    <w:rsid w:val="00712135"/>
    <w:rsid w:val="00712E4D"/>
    <w:rsid w:val="00714D74"/>
    <w:rsid w:val="00716ECE"/>
    <w:rsid w:val="00720CCE"/>
    <w:rsid w:val="0072749B"/>
    <w:rsid w:val="00727697"/>
    <w:rsid w:val="00735F2E"/>
    <w:rsid w:val="007378B3"/>
    <w:rsid w:val="00737AFA"/>
    <w:rsid w:val="00746588"/>
    <w:rsid w:val="00746A0A"/>
    <w:rsid w:val="00747656"/>
    <w:rsid w:val="00750699"/>
    <w:rsid w:val="00751604"/>
    <w:rsid w:val="00754432"/>
    <w:rsid w:val="0076083C"/>
    <w:rsid w:val="0076433C"/>
    <w:rsid w:val="007673E7"/>
    <w:rsid w:val="00773ED0"/>
    <w:rsid w:val="00781A34"/>
    <w:rsid w:val="00785778"/>
    <w:rsid w:val="007902C5"/>
    <w:rsid w:val="007A0119"/>
    <w:rsid w:val="007A2480"/>
    <w:rsid w:val="007A4ED2"/>
    <w:rsid w:val="007A636A"/>
    <w:rsid w:val="007B43C2"/>
    <w:rsid w:val="007C0253"/>
    <w:rsid w:val="007C0DCD"/>
    <w:rsid w:val="007C1EE2"/>
    <w:rsid w:val="007C34A0"/>
    <w:rsid w:val="007D09EC"/>
    <w:rsid w:val="007D1D82"/>
    <w:rsid w:val="007D27AD"/>
    <w:rsid w:val="007D2C01"/>
    <w:rsid w:val="007D33FD"/>
    <w:rsid w:val="007D5063"/>
    <w:rsid w:val="007D724C"/>
    <w:rsid w:val="007D7261"/>
    <w:rsid w:val="007E2A6D"/>
    <w:rsid w:val="007F475D"/>
    <w:rsid w:val="00802B56"/>
    <w:rsid w:val="00803764"/>
    <w:rsid w:val="0080777E"/>
    <w:rsid w:val="00812010"/>
    <w:rsid w:val="008218BD"/>
    <w:rsid w:val="008237FC"/>
    <w:rsid w:val="00827C03"/>
    <w:rsid w:val="008349BB"/>
    <w:rsid w:val="0083503D"/>
    <w:rsid w:val="00837F06"/>
    <w:rsid w:val="008451CB"/>
    <w:rsid w:val="00847457"/>
    <w:rsid w:val="008536C2"/>
    <w:rsid w:val="00862B3E"/>
    <w:rsid w:val="00871A51"/>
    <w:rsid w:val="00872B5D"/>
    <w:rsid w:val="00873FE3"/>
    <w:rsid w:val="008764D8"/>
    <w:rsid w:val="00880833"/>
    <w:rsid w:val="00890C09"/>
    <w:rsid w:val="00894FAF"/>
    <w:rsid w:val="008A009B"/>
    <w:rsid w:val="008A12DF"/>
    <w:rsid w:val="008A3E83"/>
    <w:rsid w:val="008B6A20"/>
    <w:rsid w:val="008C1E4B"/>
    <w:rsid w:val="008C20F0"/>
    <w:rsid w:val="008C3694"/>
    <w:rsid w:val="008C5FB7"/>
    <w:rsid w:val="008D582E"/>
    <w:rsid w:val="008E0164"/>
    <w:rsid w:val="008E05A6"/>
    <w:rsid w:val="008F3139"/>
    <w:rsid w:val="008F31D0"/>
    <w:rsid w:val="00901F86"/>
    <w:rsid w:val="0090419E"/>
    <w:rsid w:val="009110C9"/>
    <w:rsid w:val="00911EF4"/>
    <w:rsid w:val="009132BC"/>
    <w:rsid w:val="009155B8"/>
    <w:rsid w:val="00916913"/>
    <w:rsid w:val="00921C1F"/>
    <w:rsid w:val="00924798"/>
    <w:rsid w:val="00930F16"/>
    <w:rsid w:val="0093391C"/>
    <w:rsid w:val="009356BB"/>
    <w:rsid w:val="009445D5"/>
    <w:rsid w:val="00945DC9"/>
    <w:rsid w:val="0094623E"/>
    <w:rsid w:val="0095204C"/>
    <w:rsid w:val="00952ED2"/>
    <w:rsid w:val="00956D3D"/>
    <w:rsid w:val="00964197"/>
    <w:rsid w:val="0096599D"/>
    <w:rsid w:val="0096602D"/>
    <w:rsid w:val="00967556"/>
    <w:rsid w:val="00980DE7"/>
    <w:rsid w:val="00981D7D"/>
    <w:rsid w:val="00984BF5"/>
    <w:rsid w:val="00984EF4"/>
    <w:rsid w:val="00985019"/>
    <w:rsid w:val="00986069"/>
    <w:rsid w:val="0098764D"/>
    <w:rsid w:val="00990502"/>
    <w:rsid w:val="009905BF"/>
    <w:rsid w:val="00991A47"/>
    <w:rsid w:val="00993A16"/>
    <w:rsid w:val="00993CF8"/>
    <w:rsid w:val="009943AA"/>
    <w:rsid w:val="009A2220"/>
    <w:rsid w:val="009B0361"/>
    <w:rsid w:val="009B2AB8"/>
    <w:rsid w:val="009B72C6"/>
    <w:rsid w:val="009C13B0"/>
    <w:rsid w:val="009C54FE"/>
    <w:rsid w:val="009C7C40"/>
    <w:rsid w:val="009D2583"/>
    <w:rsid w:val="009D6100"/>
    <w:rsid w:val="009D7A3F"/>
    <w:rsid w:val="009E0C8C"/>
    <w:rsid w:val="009E34B9"/>
    <w:rsid w:val="009E4009"/>
    <w:rsid w:val="009F0D2D"/>
    <w:rsid w:val="009F145A"/>
    <w:rsid w:val="00A007F4"/>
    <w:rsid w:val="00A0200B"/>
    <w:rsid w:val="00A02232"/>
    <w:rsid w:val="00A02F7F"/>
    <w:rsid w:val="00A0348B"/>
    <w:rsid w:val="00A06EFA"/>
    <w:rsid w:val="00A075E5"/>
    <w:rsid w:val="00A136F3"/>
    <w:rsid w:val="00A16290"/>
    <w:rsid w:val="00A24E99"/>
    <w:rsid w:val="00A3058A"/>
    <w:rsid w:val="00A30D3B"/>
    <w:rsid w:val="00A427A8"/>
    <w:rsid w:val="00A43239"/>
    <w:rsid w:val="00A446FD"/>
    <w:rsid w:val="00A460A3"/>
    <w:rsid w:val="00A469C0"/>
    <w:rsid w:val="00A474A1"/>
    <w:rsid w:val="00A5122E"/>
    <w:rsid w:val="00A512E8"/>
    <w:rsid w:val="00A53DF9"/>
    <w:rsid w:val="00A53F2D"/>
    <w:rsid w:val="00A5580E"/>
    <w:rsid w:val="00A56411"/>
    <w:rsid w:val="00A56FC9"/>
    <w:rsid w:val="00A64C61"/>
    <w:rsid w:val="00A717A1"/>
    <w:rsid w:val="00A719B8"/>
    <w:rsid w:val="00A723F9"/>
    <w:rsid w:val="00A757BF"/>
    <w:rsid w:val="00A75880"/>
    <w:rsid w:val="00A8303C"/>
    <w:rsid w:val="00A84F1D"/>
    <w:rsid w:val="00A865F3"/>
    <w:rsid w:val="00A9275C"/>
    <w:rsid w:val="00A92E10"/>
    <w:rsid w:val="00A9348F"/>
    <w:rsid w:val="00A94DE9"/>
    <w:rsid w:val="00A96C11"/>
    <w:rsid w:val="00AA015B"/>
    <w:rsid w:val="00AB26E9"/>
    <w:rsid w:val="00AB3374"/>
    <w:rsid w:val="00AC4648"/>
    <w:rsid w:val="00AC4E39"/>
    <w:rsid w:val="00AD47FF"/>
    <w:rsid w:val="00AD5EC0"/>
    <w:rsid w:val="00AD6494"/>
    <w:rsid w:val="00AE1A8D"/>
    <w:rsid w:val="00AE3619"/>
    <w:rsid w:val="00AE40D9"/>
    <w:rsid w:val="00AE471A"/>
    <w:rsid w:val="00AF022F"/>
    <w:rsid w:val="00AF1B1E"/>
    <w:rsid w:val="00AF6785"/>
    <w:rsid w:val="00B01E05"/>
    <w:rsid w:val="00B110C3"/>
    <w:rsid w:val="00B14C6D"/>
    <w:rsid w:val="00B153FA"/>
    <w:rsid w:val="00B15977"/>
    <w:rsid w:val="00B20CDA"/>
    <w:rsid w:val="00B21379"/>
    <w:rsid w:val="00B259BF"/>
    <w:rsid w:val="00B267A2"/>
    <w:rsid w:val="00B34A70"/>
    <w:rsid w:val="00B40302"/>
    <w:rsid w:val="00B43290"/>
    <w:rsid w:val="00B44C17"/>
    <w:rsid w:val="00B45F2F"/>
    <w:rsid w:val="00B502C7"/>
    <w:rsid w:val="00B50E7E"/>
    <w:rsid w:val="00B63B58"/>
    <w:rsid w:val="00B63ECE"/>
    <w:rsid w:val="00B71A0A"/>
    <w:rsid w:val="00B728A6"/>
    <w:rsid w:val="00B72D62"/>
    <w:rsid w:val="00B733D3"/>
    <w:rsid w:val="00B73729"/>
    <w:rsid w:val="00B809D0"/>
    <w:rsid w:val="00B838BE"/>
    <w:rsid w:val="00B846F2"/>
    <w:rsid w:val="00B853ED"/>
    <w:rsid w:val="00B86320"/>
    <w:rsid w:val="00B927D1"/>
    <w:rsid w:val="00B95298"/>
    <w:rsid w:val="00BA10F7"/>
    <w:rsid w:val="00BA1BDC"/>
    <w:rsid w:val="00BA6EF4"/>
    <w:rsid w:val="00BB4750"/>
    <w:rsid w:val="00BB5C53"/>
    <w:rsid w:val="00BC271A"/>
    <w:rsid w:val="00BC3020"/>
    <w:rsid w:val="00BD09C5"/>
    <w:rsid w:val="00BD5FCF"/>
    <w:rsid w:val="00BD6DDB"/>
    <w:rsid w:val="00BD7A16"/>
    <w:rsid w:val="00BF26F1"/>
    <w:rsid w:val="00BF47F4"/>
    <w:rsid w:val="00BF603B"/>
    <w:rsid w:val="00C00B4E"/>
    <w:rsid w:val="00C025DE"/>
    <w:rsid w:val="00C12590"/>
    <w:rsid w:val="00C20D9D"/>
    <w:rsid w:val="00C2251C"/>
    <w:rsid w:val="00C23650"/>
    <w:rsid w:val="00C24952"/>
    <w:rsid w:val="00C2623B"/>
    <w:rsid w:val="00C265EE"/>
    <w:rsid w:val="00C273B6"/>
    <w:rsid w:val="00C30F80"/>
    <w:rsid w:val="00C31C7E"/>
    <w:rsid w:val="00C322E3"/>
    <w:rsid w:val="00C431E5"/>
    <w:rsid w:val="00C5038A"/>
    <w:rsid w:val="00C52993"/>
    <w:rsid w:val="00C55112"/>
    <w:rsid w:val="00C552D5"/>
    <w:rsid w:val="00C564C6"/>
    <w:rsid w:val="00C56B7A"/>
    <w:rsid w:val="00C57641"/>
    <w:rsid w:val="00C65045"/>
    <w:rsid w:val="00C7009B"/>
    <w:rsid w:val="00C747CB"/>
    <w:rsid w:val="00C827EC"/>
    <w:rsid w:val="00C8466F"/>
    <w:rsid w:val="00C84AAA"/>
    <w:rsid w:val="00C86644"/>
    <w:rsid w:val="00C866A9"/>
    <w:rsid w:val="00C90158"/>
    <w:rsid w:val="00C974B8"/>
    <w:rsid w:val="00CA0CF6"/>
    <w:rsid w:val="00CA1870"/>
    <w:rsid w:val="00CA2D3D"/>
    <w:rsid w:val="00CA6C65"/>
    <w:rsid w:val="00CA77EA"/>
    <w:rsid w:val="00CB2530"/>
    <w:rsid w:val="00CC2773"/>
    <w:rsid w:val="00CC27B1"/>
    <w:rsid w:val="00CC304A"/>
    <w:rsid w:val="00CC49BC"/>
    <w:rsid w:val="00CC52BD"/>
    <w:rsid w:val="00CD0FB6"/>
    <w:rsid w:val="00CD219E"/>
    <w:rsid w:val="00CD48E8"/>
    <w:rsid w:val="00CD4C25"/>
    <w:rsid w:val="00CD7FC6"/>
    <w:rsid w:val="00CE1187"/>
    <w:rsid w:val="00CE1BDF"/>
    <w:rsid w:val="00CE34AB"/>
    <w:rsid w:val="00CE3BDF"/>
    <w:rsid w:val="00CF678D"/>
    <w:rsid w:val="00D00C91"/>
    <w:rsid w:val="00D02D3D"/>
    <w:rsid w:val="00D06898"/>
    <w:rsid w:val="00D10167"/>
    <w:rsid w:val="00D105FC"/>
    <w:rsid w:val="00D10E43"/>
    <w:rsid w:val="00D127B4"/>
    <w:rsid w:val="00D1308E"/>
    <w:rsid w:val="00D203C9"/>
    <w:rsid w:val="00D21634"/>
    <w:rsid w:val="00D225A7"/>
    <w:rsid w:val="00D22791"/>
    <w:rsid w:val="00D2593E"/>
    <w:rsid w:val="00D412A6"/>
    <w:rsid w:val="00D415FA"/>
    <w:rsid w:val="00D447FC"/>
    <w:rsid w:val="00D45849"/>
    <w:rsid w:val="00D45E58"/>
    <w:rsid w:val="00D53F03"/>
    <w:rsid w:val="00D56B1B"/>
    <w:rsid w:val="00D65A55"/>
    <w:rsid w:val="00D7570B"/>
    <w:rsid w:val="00D83884"/>
    <w:rsid w:val="00D92736"/>
    <w:rsid w:val="00D93C06"/>
    <w:rsid w:val="00D94AFB"/>
    <w:rsid w:val="00DA0357"/>
    <w:rsid w:val="00DA3453"/>
    <w:rsid w:val="00DA38F9"/>
    <w:rsid w:val="00DA466F"/>
    <w:rsid w:val="00DA69B7"/>
    <w:rsid w:val="00DB4E5D"/>
    <w:rsid w:val="00DC2631"/>
    <w:rsid w:val="00DC6BC7"/>
    <w:rsid w:val="00DD0597"/>
    <w:rsid w:val="00DD31E3"/>
    <w:rsid w:val="00DD5C7C"/>
    <w:rsid w:val="00DE2038"/>
    <w:rsid w:val="00DE7C44"/>
    <w:rsid w:val="00DF32E1"/>
    <w:rsid w:val="00DF502A"/>
    <w:rsid w:val="00E00046"/>
    <w:rsid w:val="00E01F77"/>
    <w:rsid w:val="00E04326"/>
    <w:rsid w:val="00E17576"/>
    <w:rsid w:val="00E22C7A"/>
    <w:rsid w:val="00E23613"/>
    <w:rsid w:val="00E23A41"/>
    <w:rsid w:val="00E2402D"/>
    <w:rsid w:val="00E30831"/>
    <w:rsid w:val="00E33F6E"/>
    <w:rsid w:val="00E351B8"/>
    <w:rsid w:val="00E355A8"/>
    <w:rsid w:val="00E37E41"/>
    <w:rsid w:val="00E4026E"/>
    <w:rsid w:val="00E41866"/>
    <w:rsid w:val="00E44295"/>
    <w:rsid w:val="00E44591"/>
    <w:rsid w:val="00E5185A"/>
    <w:rsid w:val="00E54BBB"/>
    <w:rsid w:val="00E5524A"/>
    <w:rsid w:val="00E553B2"/>
    <w:rsid w:val="00E56704"/>
    <w:rsid w:val="00E73F27"/>
    <w:rsid w:val="00E753B1"/>
    <w:rsid w:val="00E75B98"/>
    <w:rsid w:val="00E8104D"/>
    <w:rsid w:val="00E909C7"/>
    <w:rsid w:val="00E9338B"/>
    <w:rsid w:val="00E978B5"/>
    <w:rsid w:val="00E9794C"/>
    <w:rsid w:val="00E97C16"/>
    <w:rsid w:val="00EB090C"/>
    <w:rsid w:val="00EC08F9"/>
    <w:rsid w:val="00ED1CFD"/>
    <w:rsid w:val="00ED3444"/>
    <w:rsid w:val="00EE4806"/>
    <w:rsid w:val="00EF05C1"/>
    <w:rsid w:val="00EF5DC8"/>
    <w:rsid w:val="00EF6DC2"/>
    <w:rsid w:val="00F0159E"/>
    <w:rsid w:val="00F01F2C"/>
    <w:rsid w:val="00F070A4"/>
    <w:rsid w:val="00F17006"/>
    <w:rsid w:val="00F23F41"/>
    <w:rsid w:val="00F27374"/>
    <w:rsid w:val="00F40549"/>
    <w:rsid w:val="00F4356E"/>
    <w:rsid w:val="00F44382"/>
    <w:rsid w:val="00F45893"/>
    <w:rsid w:val="00F525E5"/>
    <w:rsid w:val="00F535B5"/>
    <w:rsid w:val="00F55900"/>
    <w:rsid w:val="00F70B89"/>
    <w:rsid w:val="00F81CA7"/>
    <w:rsid w:val="00F87894"/>
    <w:rsid w:val="00F90474"/>
    <w:rsid w:val="00F926EB"/>
    <w:rsid w:val="00F948B1"/>
    <w:rsid w:val="00FA5E0E"/>
    <w:rsid w:val="00FA65A2"/>
    <w:rsid w:val="00FB0719"/>
    <w:rsid w:val="00FD140C"/>
    <w:rsid w:val="00FD27BC"/>
    <w:rsid w:val="00FD29BF"/>
    <w:rsid w:val="00FE1AC9"/>
    <w:rsid w:val="00FE50BB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customStyle="1" w:styleId="Default">
    <w:name w:val="Default"/>
    <w:rsid w:val="003E53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275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08B7-F8EE-43D4-A830-C06EC1F2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36</Pages>
  <Words>7363</Words>
  <Characters>41973</Characters>
  <Application>Microsoft Office Word</Application>
  <DocSecurity>0</DocSecurity>
  <Lines>349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МЕТОДИКА РАСЧЕТА ЗНАЧЕНИЙ ПОКАЗАТЕЛЕЙ МУНИЦИПАЛЬНОЙ ПРОГРАММЫ</vt:lpstr>
      <vt:lpstr>«РАЗВИТИЕ ПОТРЕБИТЕЛЬСКОГО РЫНКА И УСЛУГ»</vt:lpstr>
    </vt:vector>
  </TitlesOfParts>
  <Company/>
  <LinksUpToDate>false</LinksUpToDate>
  <CharactersWithSpaces>49238</CharactersWithSpaces>
  <SharedDoc>false</SharedDoc>
  <HLinks>
    <vt:vector size="18" baseType="variant">
      <vt:variant>
        <vt:i4>458822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24</cp:revision>
  <cp:lastPrinted>2018-11-16T09:08:00Z</cp:lastPrinted>
  <dcterms:created xsi:type="dcterms:W3CDTF">2018-03-21T09:47:00Z</dcterms:created>
  <dcterms:modified xsi:type="dcterms:W3CDTF">2018-11-20T08:27:00Z</dcterms:modified>
</cp:coreProperties>
</file>