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theme/themeOverride4.xml" ContentType="application/vnd.openxmlformats-officedocument.themeOverride+xml"/>
  <Override PartName="/word/charts/chart7.xml" ContentType="application/vnd.openxmlformats-officedocument.drawingml.chart+xml"/>
  <Override PartName="/word/theme/themeOverride5.xml" ContentType="application/vnd.openxmlformats-officedocument.themeOverride+xml"/>
  <Override PartName="/word/charts/chart8.xml" ContentType="application/vnd.openxmlformats-officedocument.drawingml.chart+xml"/>
  <Override PartName="/word/theme/themeOverride6.xml" ContentType="application/vnd.openxmlformats-officedocument.themeOverride+xml"/>
  <Override PartName="/word/charts/chart9.xml" ContentType="application/vnd.openxmlformats-officedocument.drawingml.chart+xml"/>
  <Override PartName="/word/theme/themeOverride7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EF" w:rsidRDefault="006243DC" w:rsidP="005739FC">
      <w:pPr>
        <w:rPr>
          <w:b/>
          <w:sz w:val="28"/>
        </w:rPr>
      </w:pPr>
      <w:r>
        <w:rPr>
          <w:b/>
          <w:sz w:val="28"/>
        </w:rPr>
        <w:t xml:space="preserve">                         </w:t>
      </w:r>
    </w:p>
    <w:p w:rsidR="00FC0A3F" w:rsidRDefault="005F44D5" w:rsidP="005739FC">
      <w:pPr>
        <w:jc w:val="center"/>
        <w:rPr>
          <w:b/>
          <w:sz w:val="28"/>
          <w:szCs w:val="28"/>
        </w:rPr>
      </w:pPr>
      <w:r w:rsidRPr="00B52AB5">
        <w:rPr>
          <w:b/>
          <w:sz w:val="28"/>
          <w:szCs w:val="28"/>
        </w:rPr>
        <w:t xml:space="preserve">ИНФОРМАЦИЯ </w:t>
      </w:r>
    </w:p>
    <w:p w:rsidR="00D50E30" w:rsidRDefault="005F44D5" w:rsidP="005739FC">
      <w:pPr>
        <w:jc w:val="center"/>
        <w:rPr>
          <w:b/>
          <w:sz w:val="28"/>
          <w:szCs w:val="28"/>
        </w:rPr>
      </w:pPr>
      <w:r w:rsidRPr="00B52AB5">
        <w:rPr>
          <w:b/>
          <w:sz w:val="28"/>
          <w:szCs w:val="28"/>
        </w:rPr>
        <w:t>О РАССМОТРЕНИИ ОБРАЩЕНИЙ ГРАЖДАН</w:t>
      </w:r>
    </w:p>
    <w:p w:rsidR="00D50E30" w:rsidRDefault="00D50E30" w:rsidP="005739FC">
      <w:pPr>
        <w:jc w:val="center"/>
        <w:rPr>
          <w:b/>
          <w:sz w:val="28"/>
          <w:szCs w:val="28"/>
        </w:rPr>
      </w:pPr>
      <w:r w:rsidRPr="00D50E30">
        <w:rPr>
          <w:b/>
          <w:sz w:val="28"/>
          <w:szCs w:val="28"/>
        </w:rPr>
        <w:t xml:space="preserve"> в органах исполнительной власти </w:t>
      </w:r>
    </w:p>
    <w:p w:rsidR="005739FC" w:rsidRPr="00D50E30" w:rsidRDefault="00D50E30" w:rsidP="005739FC">
      <w:pPr>
        <w:jc w:val="center"/>
        <w:rPr>
          <w:b/>
          <w:sz w:val="28"/>
          <w:szCs w:val="28"/>
        </w:rPr>
      </w:pPr>
      <w:r w:rsidRPr="00D50E30">
        <w:rPr>
          <w:b/>
          <w:sz w:val="28"/>
          <w:szCs w:val="28"/>
        </w:rPr>
        <w:t>Красногорского муниципального района</w:t>
      </w:r>
      <w:r>
        <w:rPr>
          <w:b/>
          <w:sz w:val="28"/>
          <w:szCs w:val="28"/>
        </w:rPr>
        <w:t xml:space="preserve"> </w:t>
      </w:r>
      <w:r w:rsidR="00363380" w:rsidRPr="00D50E30">
        <w:rPr>
          <w:b/>
          <w:sz w:val="28"/>
          <w:szCs w:val="28"/>
        </w:rPr>
        <w:t xml:space="preserve"> в 20</w:t>
      </w:r>
      <w:r w:rsidR="004643BC" w:rsidRPr="00D50E30">
        <w:rPr>
          <w:b/>
          <w:sz w:val="28"/>
          <w:szCs w:val="28"/>
        </w:rPr>
        <w:t>1</w:t>
      </w:r>
      <w:r w:rsidR="00F7138B">
        <w:rPr>
          <w:b/>
          <w:sz w:val="28"/>
          <w:szCs w:val="28"/>
        </w:rPr>
        <w:t>3</w:t>
      </w:r>
      <w:r w:rsidR="005F44D5" w:rsidRPr="00D50E30">
        <w:rPr>
          <w:b/>
          <w:sz w:val="28"/>
          <w:szCs w:val="28"/>
        </w:rPr>
        <w:t xml:space="preserve"> году</w:t>
      </w:r>
    </w:p>
    <w:p w:rsidR="002265F7" w:rsidRPr="0020520E" w:rsidRDefault="0020520E" w:rsidP="0020520E">
      <w:pPr>
        <w:jc w:val="both"/>
        <w:rPr>
          <w:b/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Вся </w:t>
      </w:r>
      <w:r w:rsidRPr="0020520E">
        <w:rPr>
          <w:sz w:val="28"/>
          <w:szCs w:val="28"/>
        </w:rPr>
        <w:t>работа по рассмотрению обращений граждан в орган</w:t>
      </w:r>
      <w:r w:rsidR="00986073">
        <w:rPr>
          <w:sz w:val="28"/>
          <w:szCs w:val="28"/>
        </w:rPr>
        <w:t>ах</w:t>
      </w:r>
      <w:r w:rsidRPr="0020520E">
        <w:rPr>
          <w:sz w:val="28"/>
          <w:szCs w:val="28"/>
        </w:rPr>
        <w:t xml:space="preserve"> исполнительной власти Красногорского муниципального района </w:t>
      </w:r>
      <w:r>
        <w:rPr>
          <w:sz w:val="28"/>
          <w:szCs w:val="28"/>
        </w:rPr>
        <w:t xml:space="preserve">организована в соответствии  с </w:t>
      </w:r>
      <w:r w:rsidRPr="0020520E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ым </w:t>
      </w:r>
      <w:r w:rsidRPr="0020520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0520E">
        <w:rPr>
          <w:sz w:val="28"/>
          <w:szCs w:val="28"/>
        </w:rPr>
        <w:t xml:space="preserve"> от 02.05.2006 № 59-ФЗ «О порядке рассмотрения обращений граждан Российской Федерации», Закон</w:t>
      </w:r>
      <w:r>
        <w:rPr>
          <w:sz w:val="28"/>
          <w:szCs w:val="28"/>
        </w:rPr>
        <w:t>ом</w:t>
      </w:r>
      <w:r w:rsidRPr="0020520E">
        <w:rPr>
          <w:sz w:val="28"/>
          <w:szCs w:val="28"/>
        </w:rPr>
        <w:t xml:space="preserve"> Московской области от 05.10.2006 </w:t>
      </w:r>
      <w:r w:rsidR="003E6299">
        <w:rPr>
          <w:sz w:val="28"/>
          <w:szCs w:val="28"/>
        </w:rPr>
        <w:t xml:space="preserve"> </w:t>
      </w:r>
      <w:r w:rsidRPr="0020520E">
        <w:rPr>
          <w:sz w:val="28"/>
          <w:szCs w:val="28"/>
        </w:rPr>
        <w:t>№ 164/2006-ОЗ «О рассмотрении обращений граждан»,</w:t>
      </w:r>
      <w:r>
        <w:rPr>
          <w:sz w:val="28"/>
          <w:szCs w:val="28"/>
        </w:rPr>
        <w:t xml:space="preserve"> регламентами рассмотрения </w:t>
      </w:r>
      <w:r w:rsidR="005048A6">
        <w:rPr>
          <w:sz w:val="28"/>
          <w:szCs w:val="28"/>
        </w:rPr>
        <w:t xml:space="preserve">обращений </w:t>
      </w:r>
      <w:r>
        <w:rPr>
          <w:sz w:val="28"/>
          <w:szCs w:val="28"/>
        </w:rPr>
        <w:t>граждан в органах муниципального образования Красногорский муниципальный район.</w:t>
      </w:r>
      <w:proofErr w:type="gramEnd"/>
    </w:p>
    <w:bookmarkEnd w:id="0"/>
    <w:p w:rsidR="00FC0A3F" w:rsidRDefault="00FC0A3F" w:rsidP="009343C6">
      <w:pPr>
        <w:ind w:firstLine="708"/>
        <w:jc w:val="both"/>
        <w:rPr>
          <w:b/>
          <w:sz w:val="28"/>
        </w:rPr>
      </w:pPr>
    </w:p>
    <w:p w:rsidR="009F45F0" w:rsidRDefault="00363380" w:rsidP="009343C6">
      <w:pPr>
        <w:ind w:firstLine="708"/>
        <w:jc w:val="both"/>
        <w:rPr>
          <w:sz w:val="28"/>
        </w:rPr>
      </w:pPr>
      <w:r>
        <w:rPr>
          <w:b/>
          <w:sz w:val="28"/>
        </w:rPr>
        <w:t>В 20</w:t>
      </w:r>
      <w:r w:rsidR="004643BC">
        <w:rPr>
          <w:b/>
          <w:sz w:val="28"/>
        </w:rPr>
        <w:t>1</w:t>
      </w:r>
      <w:r w:rsidR="00F7138B">
        <w:rPr>
          <w:b/>
          <w:sz w:val="28"/>
        </w:rPr>
        <w:t>3</w:t>
      </w:r>
      <w:r w:rsidR="004643BC">
        <w:rPr>
          <w:b/>
          <w:sz w:val="28"/>
        </w:rPr>
        <w:t xml:space="preserve"> </w:t>
      </w:r>
      <w:r w:rsidR="008F0A47" w:rsidRPr="00131B21">
        <w:rPr>
          <w:b/>
          <w:sz w:val="28"/>
        </w:rPr>
        <w:t>году</w:t>
      </w:r>
      <w:r w:rsidR="008F0A47">
        <w:rPr>
          <w:sz w:val="28"/>
        </w:rPr>
        <w:t xml:space="preserve"> в </w:t>
      </w:r>
      <w:r w:rsidR="00B847E6">
        <w:rPr>
          <w:sz w:val="28"/>
        </w:rPr>
        <w:t>органы исполнительной власти</w:t>
      </w:r>
      <w:r w:rsidR="008F0A47">
        <w:rPr>
          <w:sz w:val="28"/>
        </w:rPr>
        <w:t xml:space="preserve"> Красногорского</w:t>
      </w:r>
      <w:r w:rsidR="00B847E6">
        <w:rPr>
          <w:sz w:val="28"/>
        </w:rPr>
        <w:t xml:space="preserve"> муниципального</w:t>
      </w:r>
      <w:r w:rsidR="008F0A47">
        <w:rPr>
          <w:sz w:val="28"/>
        </w:rPr>
        <w:t xml:space="preserve"> района от граждан поступило </w:t>
      </w:r>
      <w:r>
        <w:rPr>
          <w:b/>
          <w:sz w:val="28"/>
        </w:rPr>
        <w:t>1</w:t>
      </w:r>
      <w:r w:rsidR="00F7138B">
        <w:rPr>
          <w:b/>
          <w:sz w:val="28"/>
        </w:rPr>
        <w:t>8653</w:t>
      </w:r>
      <w:r w:rsidR="00640D61">
        <w:rPr>
          <w:b/>
          <w:sz w:val="28"/>
        </w:rPr>
        <w:t xml:space="preserve"> обращений граждан,  </w:t>
      </w:r>
      <w:r w:rsidR="009343C6">
        <w:rPr>
          <w:b/>
          <w:sz w:val="28"/>
        </w:rPr>
        <w:t xml:space="preserve"> </w:t>
      </w:r>
      <w:r w:rsidR="00640D61" w:rsidRPr="00640D61">
        <w:rPr>
          <w:sz w:val="28"/>
        </w:rPr>
        <w:t>в том числе</w:t>
      </w:r>
      <w:r w:rsidR="00640D61">
        <w:rPr>
          <w:b/>
          <w:sz w:val="28"/>
        </w:rPr>
        <w:t xml:space="preserve"> </w:t>
      </w:r>
      <w:r w:rsidR="00640D61" w:rsidRPr="00640D61">
        <w:rPr>
          <w:sz w:val="28"/>
        </w:rPr>
        <w:t>1</w:t>
      </w:r>
      <w:r w:rsidR="00F7138B">
        <w:rPr>
          <w:sz w:val="28"/>
        </w:rPr>
        <w:t>6528</w:t>
      </w:r>
      <w:r w:rsidR="00640D61">
        <w:rPr>
          <w:b/>
          <w:sz w:val="28"/>
        </w:rPr>
        <w:t xml:space="preserve"> </w:t>
      </w:r>
      <w:r w:rsidR="00D50E30">
        <w:rPr>
          <w:b/>
          <w:sz w:val="28"/>
        </w:rPr>
        <w:t xml:space="preserve"> </w:t>
      </w:r>
      <w:r w:rsidR="009343C6">
        <w:rPr>
          <w:sz w:val="28"/>
        </w:rPr>
        <w:t>письменн</w:t>
      </w:r>
      <w:r w:rsidR="00640D61">
        <w:rPr>
          <w:sz w:val="28"/>
        </w:rPr>
        <w:t>ых</w:t>
      </w:r>
      <w:r w:rsidR="009343C6">
        <w:rPr>
          <w:sz w:val="28"/>
        </w:rPr>
        <w:t xml:space="preserve"> и </w:t>
      </w:r>
      <w:r w:rsidR="00640D61">
        <w:rPr>
          <w:sz w:val="28"/>
        </w:rPr>
        <w:t>2</w:t>
      </w:r>
      <w:r w:rsidR="00F7138B">
        <w:rPr>
          <w:sz w:val="28"/>
        </w:rPr>
        <w:t>125</w:t>
      </w:r>
      <w:r w:rsidR="00640D61">
        <w:rPr>
          <w:sz w:val="28"/>
        </w:rPr>
        <w:t xml:space="preserve"> устных</w:t>
      </w:r>
      <w:r w:rsidR="009343C6">
        <w:rPr>
          <w:b/>
          <w:sz w:val="28"/>
        </w:rPr>
        <w:t xml:space="preserve"> </w:t>
      </w:r>
      <w:r w:rsidR="009343C6">
        <w:rPr>
          <w:sz w:val="28"/>
        </w:rPr>
        <w:t>обращени</w:t>
      </w:r>
      <w:r w:rsidR="00640D61">
        <w:rPr>
          <w:sz w:val="28"/>
        </w:rPr>
        <w:t>й</w:t>
      </w:r>
      <w:r w:rsidR="009343C6">
        <w:rPr>
          <w:sz w:val="28"/>
        </w:rPr>
        <w:t xml:space="preserve">, что на </w:t>
      </w:r>
      <w:r w:rsidR="00F7138B">
        <w:rPr>
          <w:sz w:val="28"/>
        </w:rPr>
        <w:t>2485</w:t>
      </w:r>
      <w:r w:rsidR="00640D61">
        <w:rPr>
          <w:sz w:val="28"/>
        </w:rPr>
        <w:t xml:space="preserve"> (1</w:t>
      </w:r>
      <w:r w:rsidR="009C124D">
        <w:rPr>
          <w:sz w:val="28"/>
        </w:rPr>
        <w:t>5</w:t>
      </w:r>
      <w:r w:rsidR="00640D61">
        <w:rPr>
          <w:sz w:val="28"/>
        </w:rPr>
        <w:t>%)</w:t>
      </w:r>
      <w:r w:rsidR="009343C6">
        <w:rPr>
          <w:sz w:val="28"/>
        </w:rPr>
        <w:t xml:space="preserve"> обращений </w:t>
      </w:r>
      <w:r w:rsidR="00E149AA">
        <w:rPr>
          <w:sz w:val="28"/>
        </w:rPr>
        <w:t>больше</w:t>
      </w:r>
      <w:r w:rsidR="009343C6">
        <w:rPr>
          <w:sz w:val="28"/>
        </w:rPr>
        <w:t>, чем в 20</w:t>
      </w:r>
      <w:r w:rsidR="00640D61">
        <w:rPr>
          <w:sz w:val="28"/>
        </w:rPr>
        <w:t>1</w:t>
      </w:r>
      <w:r w:rsidR="00F7138B">
        <w:rPr>
          <w:sz w:val="28"/>
        </w:rPr>
        <w:t>2</w:t>
      </w:r>
      <w:r w:rsidR="009343C6">
        <w:rPr>
          <w:sz w:val="28"/>
        </w:rPr>
        <w:t xml:space="preserve"> году.</w:t>
      </w:r>
    </w:p>
    <w:p w:rsidR="009343C6" w:rsidRDefault="009F45F0" w:rsidP="009343C6">
      <w:pPr>
        <w:ind w:firstLine="708"/>
        <w:jc w:val="both"/>
        <w:rPr>
          <w:sz w:val="28"/>
        </w:rPr>
      </w:pPr>
      <w:r>
        <w:rPr>
          <w:sz w:val="28"/>
        </w:rPr>
        <w:t xml:space="preserve">Коллективные обращения составили </w:t>
      </w:r>
      <w:r w:rsidR="007027F3">
        <w:rPr>
          <w:sz w:val="28"/>
        </w:rPr>
        <w:t>6</w:t>
      </w:r>
      <w:r>
        <w:rPr>
          <w:sz w:val="28"/>
        </w:rPr>
        <w:t>,</w:t>
      </w:r>
      <w:r w:rsidR="005F7350">
        <w:rPr>
          <w:sz w:val="28"/>
        </w:rPr>
        <w:t>3</w:t>
      </w:r>
      <w:r>
        <w:rPr>
          <w:sz w:val="28"/>
        </w:rPr>
        <w:t>% (1</w:t>
      </w:r>
      <w:r w:rsidR="005F7350">
        <w:rPr>
          <w:sz w:val="28"/>
        </w:rPr>
        <w:t>167</w:t>
      </w:r>
      <w:r>
        <w:rPr>
          <w:sz w:val="28"/>
        </w:rPr>
        <w:t>) от общего количества обращений, повторных обращений поступило 3.</w:t>
      </w:r>
      <w:r w:rsidR="005F7350">
        <w:rPr>
          <w:sz w:val="28"/>
        </w:rPr>
        <w:t>0</w:t>
      </w:r>
      <w:r>
        <w:rPr>
          <w:sz w:val="28"/>
        </w:rPr>
        <w:t>% (</w:t>
      </w:r>
      <w:r w:rsidR="007027F3">
        <w:rPr>
          <w:sz w:val="28"/>
        </w:rPr>
        <w:t>5</w:t>
      </w:r>
      <w:r w:rsidR="005F7350">
        <w:rPr>
          <w:sz w:val="28"/>
        </w:rPr>
        <w:t>56</w:t>
      </w:r>
      <w:r>
        <w:rPr>
          <w:sz w:val="28"/>
        </w:rPr>
        <w:t>)</w:t>
      </w:r>
      <w:r w:rsidR="000C2A33">
        <w:rPr>
          <w:sz w:val="28"/>
        </w:rPr>
        <w:t>.</w:t>
      </w:r>
    </w:p>
    <w:p w:rsidR="00D37467" w:rsidRDefault="00D37467" w:rsidP="009343C6">
      <w:pPr>
        <w:ind w:firstLine="708"/>
        <w:jc w:val="both"/>
        <w:rPr>
          <w:sz w:val="28"/>
        </w:rPr>
      </w:pPr>
    </w:p>
    <w:p w:rsidR="00D37467" w:rsidRDefault="00B51F60" w:rsidP="009343C6">
      <w:pPr>
        <w:ind w:firstLine="708"/>
        <w:jc w:val="both"/>
        <w:rPr>
          <w:sz w:val="28"/>
        </w:rPr>
      </w:pPr>
      <w:r>
        <w:rPr>
          <w:noProof/>
        </w:rPr>
        <w:drawing>
          <wp:inline distT="0" distB="0" distL="0" distR="0">
            <wp:extent cx="5410200" cy="286702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37467" w:rsidRDefault="00D37467" w:rsidP="009343C6">
      <w:pPr>
        <w:ind w:firstLine="708"/>
        <w:jc w:val="both"/>
        <w:rPr>
          <w:sz w:val="28"/>
        </w:rPr>
      </w:pPr>
    </w:p>
    <w:p w:rsidR="00B950AE" w:rsidRDefault="004E12EB" w:rsidP="00C14FDF">
      <w:pPr>
        <w:ind w:firstLine="708"/>
        <w:jc w:val="both"/>
      </w:pPr>
      <w:r>
        <w:t>Диаграмма №1.</w:t>
      </w:r>
    </w:p>
    <w:p w:rsidR="000B4568" w:rsidRDefault="000B4568" w:rsidP="005B4302">
      <w:pPr>
        <w:ind w:firstLine="708"/>
        <w:jc w:val="center"/>
        <w:rPr>
          <w:sz w:val="28"/>
        </w:rPr>
      </w:pPr>
      <w:r>
        <w:rPr>
          <w:sz w:val="28"/>
        </w:rPr>
        <w:t>Из них поступило:</w:t>
      </w:r>
    </w:p>
    <w:p w:rsidR="00580748" w:rsidRPr="00580748" w:rsidRDefault="000B4568" w:rsidP="00580748">
      <w:pPr>
        <w:jc w:val="both"/>
        <w:rPr>
          <w:sz w:val="28"/>
          <w:szCs w:val="28"/>
        </w:rPr>
      </w:pPr>
      <w:r w:rsidRPr="00580748">
        <w:rPr>
          <w:sz w:val="28"/>
          <w:szCs w:val="28"/>
        </w:rPr>
        <w:t xml:space="preserve"> </w:t>
      </w:r>
      <w:r w:rsidR="00580748" w:rsidRPr="00580748">
        <w:rPr>
          <w:sz w:val="28"/>
          <w:szCs w:val="28"/>
        </w:rPr>
        <w:t>- в администрацию Красногорского муниципального района –</w:t>
      </w:r>
      <w:r w:rsidR="002765C2">
        <w:rPr>
          <w:sz w:val="28"/>
          <w:szCs w:val="28"/>
        </w:rPr>
        <w:t>8715</w:t>
      </w:r>
      <w:r w:rsidR="00FC0A3F">
        <w:rPr>
          <w:sz w:val="28"/>
          <w:szCs w:val="28"/>
        </w:rPr>
        <w:t xml:space="preserve">, в том числе </w:t>
      </w:r>
      <w:r w:rsidR="002765C2">
        <w:rPr>
          <w:sz w:val="28"/>
          <w:szCs w:val="28"/>
        </w:rPr>
        <w:t>7104</w:t>
      </w:r>
      <w:r w:rsidR="00FC0A3F">
        <w:rPr>
          <w:sz w:val="28"/>
          <w:szCs w:val="28"/>
        </w:rPr>
        <w:t xml:space="preserve"> письменных и </w:t>
      </w:r>
      <w:r w:rsidR="005708CB">
        <w:rPr>
          <w:sz w:val="28"/>
          <w:szCs w:val="28"/>
        </w:rPr>
        <w:t>1</w:t>
      </w:r>
      <w:r w:rsidR="002765C2">
        <w:rPr>
          <w:sz w:val="28"/>
          <w:szCs w:val="28"/>
        </w:rPr>
        <w:t>611</w:t>
      </w:r>
      <w:r w:rsidR="00FC0A3F">
        <w:rPr>
          <w:sz w:val="28"/>
          <w:szCs w:val="28"/>
        </w:rPr>
        <w:t xml:space="preserve"> устных обращений</w:t>
      </w:r>
      <w:r w:rsidR="00580748" w:rsidRPr="00580748">
        <w:rPr>
          <w:sz w:val="28"/>
          <w:szCs w:val="28"/>
        </w:rPr>
        <w:t xml:space="preserve">, </w:t>
      </w:r>
    </w:p>
    <w:p w:rsidR="00FC0A3F" w:rsidRPr="00580748" w:rsidRDefault="00580748" w:rsidP="00FC0A3F">
      <w:pPr>
        <w:jc w:val="both"/>
        <w:rPr>
          <w:sz w:val="28"/>
          <w:szCs w:val="28"/>
        </w:rPr>
      </w:pPr>
      <w:r w:rsidRPr="00580748">
        <w:rPr>
          <w:sz w:val="28"/>
          <w:szCs w:val="28"/>
        </w:rPr>
        <w:t xml:space="preserve">- в администрацию городского поселения Красногорск </w:t>
      </w:r>
      <w:r w:rsidR="005708CB">
        <w:rPr>
          <w:sz w:val="28"/>
          <w:szCs w:val="28"/>
        </w:rPr>
        <w:t xml:space="preserve">- </w:t>
      </w:r>
      <w:r w:rsidR="002765C2">
        <w:rPr>
          <w:sz w:val="28"/>
          <w:szCs w:val="28"/>
        </w:rPr>
        <w:t>4903</w:t>
      </w:r>
      <w:r w:rsidRPr="00580748">
        <w:rPr>
          <w:sz w:val="28"/>
          <w:szCs w:val="28"/>
        </w:rPr>
        <w:t>,</w:t>
      </w:r>
      <w:r w:rsidR="00FC0A3F" w:rsidRPr="00FC0A3F">
        <w:rPr>
          <w:sz w:val="28"/>
          <w:szCs w:val="28"/>
        </w:rPr>
        <w:t xml:space="preserve"> </w:t>
      </w:r>
      <w:r w:rsidR="00FC0A3F">
        <w:rPr>
          <w:sz w:val="28"/>
          <w:szCs w:val="28"/>
        </w:rPr>
        <w:t xml:space="preserve">в том числе </w:t>
      </w:r>
      <w:r w:rsidR="002765C2">
        <w:rPr>
          <w:sz w:val="28"/>
          <w:szCs w:val="28"/>
        </w:rPr>
        <w:t xml:space="preserve">4709 </w:t>
      </w:r>
      <w:r w:rsidR="00FC0A3F">
        <w:rPr>
          <w:sz w:val="28"/>
          <w:szCs w:val="28"/>
        </w:rPr>
        <w:t xml:space="preserve">письменных и </w:t>
      </w:r>
      <w:r w:rsidR="002765C2">
        <w:rPr>
          <w:sz w:val="28"/>
          <w:szCs w:val="28"/>
        </w:rPr>
        <w:t>194</w:t>
      </w:r>
      <w:r w:rsidR="00FC0A3F">
        <w:rPr>
          <w:sz w:val="28"/>
          <w:szCs w:val="28"/>
        </w:rPr>
        <w:t xml:space="preserve"> устн</w:t>
      </w:r>
      <w:r w:rsidR="007027F3">
        <w:rPr>
          <w:sz w:val="28"/>
          <w:szCs w:val="28"/>
        </w:rPr>
        <w:t>ых</w:t>
      </w:r>
      <w:r w:rsidR="00FC0A3F">
        <w:rPr>
          <w:sz w:val="28"/>
          <w:szCs w:val="28"/>
        </w:rPr>
        <w:t xml:space="preserve"> обращени</w:t>
      </w:r>
      <w:r w:rsidR="007027F3">
        <w:rPr>
          <w:sz w:val="28"/>
          <w:szCs w:val="28"/>
        </w:rPr>
        <w:t>й</w:t>
      </w:r>
      <w:r w:rsidR="00FC0A3F" w:rsidRPr="00580748">
        <w:rPr>
          <w:sz w:val="28"/>
          <w:szCs w:val="28"/>
        </w:rPr>
        <w:t xml:space="preserve">, </w:t>
      </w:r>
    </w:p>
    <w:p w:rsidR="00FC0A3F" w:rsidRPr="00580748" w:rsidRDefault="00580748" w:rsidP="00FC0A3F">
      <w:pPr>
        <w:jc w:val="both"/>
        <w:rPr>
          <w:sz w:val="28"/>
          <w:szCs w:val="28"/>
        </w:rPr>
      </w:pPr>
      <w:r w:rsidRPr="00580748">
        <w:rPr>
          <w:sz w:val="28"/>
          <w:szCs w:val="28"/>
        </w:rPr>
        <w:t xml:space="preserve">- в администрацию городского поселения Нахабино </w:t>
      </w:r>
      <w:r w:rsidR="005708CB">
        <w:rPr>
          <w:sz w:val="28"/>
          <w:szCs w:val="28"/>
        </w:rPr>
        <w:t xml:space="preserve">- </w:t>
      </w:r>
      <w:r w:rsidR="002765C2">
        <w:rPr>
          <w:sz w:val="28"/>
          <w:szCs w:val="28"/>
        </w:rPr>
        <w:t>2095</w:t>
      </w:r>
      <w:r w:rsidRPr="00580748">
        <w:rPr>
          <w:sz w:val="28"/>
          <w:szCs w:val="28"/>
        </w:rPr>
        <w:t>,</w:t>
      </w:r>
      <w:r w:rsidR="00FC0A3F">
        <w:rPr>
          <w:sz w:val="28"/>
          <w:szCs w:val="28"/>
        </w:rPr>
        <w:t xml:space="preserve"> в том числе 1</w:t>
      </w:r>
      <w:r w:rsidR="002765C2">
        <w:rPr>
          <w:sz w:val="28"/>
          <w:szCs w:val="28"/>
        </w:rPr>
        <w:t>941</w:t>
      </w:r>
      <w:r w:rsidR="005708CB">
        <w:rPr>
          <w:sz w:val="28"/>
          <w:szCs w:val="28"/>
        </w:rPr>
        <w:t xml:space="preserve"> </w:t>
      </w:r>
      <w:r w:rsidR="00FC0A3F">
        <w:rPr>
          <w:sz w:val="28"/>
          <w:szCs w:val="28"/>
        </w:rPr>
        <w:t xml:space="preserve">письменных и </w:t>
      </w:r>
      <w:r w:rsidR="002765C2">
        <w:rPr>
          <w:sz w:val="28"/>
          <w:szCs w:val="28"/>
        </w:rPr>
        <w:t>154</w:t>
      </w:r>
      <w:r w:rsidR="00FC0A3F">
        <w:rPr>
          <w:sz w:val="28"/>
          <w:szCs w:val="28"/>
        </w:rPr>
        <w:t xml:space="preserve"> устных обращений</w:t>
      </w:r>
      <w:r w:rsidR="00FC0A3F" w:rsidRPr="00580748">
        <w:rPr>
          <w:sz w:val="28"/>
          <w:szCs w:val="28"/>
        </w:rPr>
        <w:t xml:space="preserve">, </w:t>
      </w:r>
    </w:p>
    <w:p w:rsidR="00FC0A3F" w:rsidRPr="00580748" w:rsidRDefault="00580748" w:rsidP="00FC0A3F">
      <w:pPr>
        <w:jc w:val="both"/>
        <w:rPr>
          <w:sz w:val="28"/>
          <w:szCs w:val="28"/>
        </w:rPr>
      </w:pPr>
      <w:r w:rsidRPr="00580748">
        <w:rPr>
          <w:sz w:val="28"/>
          <w:szCs w:val="28"/>
        </w:rPr>
        <w:t xml:space="preserve">- в администрацию сельского поселения </w:t>
      </w:r>
      <w:proofErr w:type="spellStart"/>
      <w:r w:rsidRPr="00580748">
        <w:rPr>
          <w:sz w:val="28"/>
          <w:szCs w:val="28"/>
        </w:rPr>
        <w:t>Ильинское</w:t>
      </w:r>
      <w:proofErr w:type="spellEnd"/>
      <w:r w:rsidRPr="00580748">
        <w:rPr>
          <w:sz w:val="28"/>
          <w:szCs w:val="28"/>
        </w:rPr>
        <w:t xml:space="preserve"> </w:t>
      </w:r>
      <w:r w:rsidR="005708CB">
        <w:rPr>
          <w:sz w:val="28"/>
          <w:szCs w:val="28"/>
        </w:rPr>
        <w:t xml:space="preserve">- </w:t>
      </w:r>
      <w:r w:rsidR="002765C2">
        <w:rPr>
          <w:sz w:val="28"/>
          <w:szCs w:val="28"/>
        </w:rPr>
        <w:t>1774</w:t>
      </w:r>
      <w:r w:rsidRPr="00580748">
        <w:rPr>
          <w:sz w:val="28"/>
          <w:szCs w:val="28"/>
        </w:rPr>
        <w:t>,</w:t>
      </w:r>
      <w:r w:rsidR="00FC0A3F">
        <w:rPr>
          <w:sz w:val="28"/>
          <w:szCs w:val="28"/>
        </w:rPr>
        <w:t xml:space="preserve"> в том числе 1</w:t>
      </w:r>
      <w:r w:rsidR="002765C2">
        <w:rPr>
          <w:sz w:val="28"/>
          <w:szCs w:val="28"/>
        </w:rPr>
        <w:t>675</w:t>
      </w:r>
      <w:r w:rsidR="005708CB">
        <w:rPr>
          <w:sz w:val="28"/>
          <w:szCs w:val="28"/>
        </w:rPr>
        <w:t xml:space="preserve"> </w:t>
      </w:r>
      <w:r w:rsidR="00FC0A3F">
        <w:rPr>
          <w:sz w:val="28"/>
          <w:szCs w:val="28"/>
        </w:rPr>
        <w:t xml:space="preserve">письменных и </w:t>
      </w:r>
      <w:r w:rsidR="002765C2">
        <w:rPr>
          <w:sz w:val="28"/>
          <w:szCs w:val="28"/>
        </w:rPr>
        <w:t>99</w:t>
      </w:r>
      <w:r w:rsidR="00FC0A3F">
        <w:rPr>
          <w:sz w:val="28"/>
          <w:szCs w:val="28"/>
        </w:rPr>
        <w:t xml:space="preserve"> устных обращений</w:t>
      </w:r>
      <w:r w:rsidR="00FC0A3F" w:rsidRPr="00580748">
        <w:rPr>
          <w:sz w:val="28"/>
          <w:szCs w:val="28"/>
        </w:rPr>
        <w:t xml:space="preserve">, </w:t>
      </w:r>
    </w:p>
    <w:p w:rsidR="00FC0A3F" w:rsidRPr="00580748" w:rsidRDefault="00580748" w:rsidP="00FC0A3F">
      <w:pPr>
        <w:jc w:val="both"/>
        <w:rPr>
          <w:sz w:val="28"/>
          <w:szCs w:val="28"/>
        </w:rPr>
      </w:pPr>
      <w:r w:rsidRPr="00580748">
        <w:rPr>
          <w:sz w:val="28"/>
          <w:szCs w:val="28"/>
        </w:rPr>
        <w:t xml:space="preserve"> - в администрацию сельского поселения </w:t>
      </w:r>
      <w:proofErr w:type="spellStart"/>
      <w:r w:rsidRPr="00580748">
        <w:rPr>
          <w:sz w:val="28"/>
          <w:szCs w:val="28"/>
        </w:rPr>
        <w:t>Отрадненское</w:t>
      </w:r>
      <w:proofErr w:type="spellEnd"/>
      <w:r w:rsidRPr="00580748">
        <w:rPr>
          <w:sz w:val="28"/>
          <w:szCs w:val="28"/>
        </w:rPr>
        <w:t xml:space="preserve"> -</w:t>
      </w:r>
      <w:r w:rsidR="005708CB">
        <w:rPr>
          <w:sz w:val="28"/>
          <w:szCs w:val="28"/>
        </w:rPr>
        <w:t xml:space="preserve"> 1</w:t>
      </w:r>
      <w:r w:rsidR="002765C2">
        <w:rPr>
          <w:sz w:val="28"/>
          <w:szCs w:val="28"/>
        </w:rPr>
        <w:t>166</w:t>
      </w:r>
      <w:r w:rsidR="00FC0A3F">
        <w:rPr>
          <w:sz w:val="28"/>
          <w:szCs w:val="28"/>
        </w:rPr>
        <w:t xml:space="preserve">, в том числе </w:t>
      </w:r>
      <w:r w:rsidR="005708CB">
        <w:rPr>
          <w:sz w:val="28"/>
          <w:szCs w:val="28"/>
        </w:rPr>
        <w:t>1</w:t>
      </w:r>
      <w:r w:rsidR="002765C2">
        <w:rPr>
          <w:sz w:val="28"/>
          <w:szCs w:val="28"/>
        </w:rPr>
        <w:t>099</w:t>
      </w:r>
      <w:r w:rsidR="00FC0A3F">
        <w:rPr>
          <w:sz w:val="28"/>
          <w:szCs w:val="28"/>
        </w:rPr>
        <w:t xml:space="preserve"> </w:t>
      </w:r>
      <w:proofErr w:type="gramStart"/>
      <w:r w:rsidR="00FC0A3F">
        <w:rPr>
          <w:sz w:val="28"/>
          <w:szCs w:val="28"/>
        </w:rPr>
        <w:t>письменн</w:t>
      </w:r>
      <w:r w:rsidR="005708CB">
        <w:rPr>
          <w:sz w:val="28"/>
          <w:szCs w:val="28"/>
        </w:rPr>
        <w:t>ое</w:t>
      </w:r>
      <w:proofErr w:type="gramEnd"/>
      <w:r w:rsidR="00FC0A3F">
        <w:rPr>
          <w:sz w:val="28"/>
          <w:szCs w:val="28"/>
        </w:rPr>
        <w:t xml:space="preserve"> и </w:t>
      </w:r>
      <w:r w:rsidR="002765C2">
        <w:rPr>
          <w:sz w:val="28"/>
          <w:szCs w:val="28"/>
        </w:rPr>
        <w:t>67</w:t>
      </w:r>
      <w:r w:rsidR="007F56E0">
        <w:rPr>
          <w:sz w:val="28"/>
          <w:szCs w:val="28"/>
        </w:rPr>
        <w:t xml:space="preserve"> </w:t>
      </w:r>
      <w:r w:rsidR="00FC0A3F">
        <w:rPr>
          <w:sz w:val="28"/>
          <w:szCs w:val="28"/>
        </w:rPr>
        <w:t>устных обращений</w:t>
      </w:r>
      <w:r w:rsidR="005708CB">
        <w:rPr>
          <w:sz w:val="28"/>
          <w:szCs w:val="28"/>
        </w:rPr>
        <w:t>.</w:t>
      </w:r>
      <w:r w:rsidR="00FC0A3F" w:rsidRPr="00580748">
        <w:rPr>
          <w:sz w:val="28"/>
          <w:szCs w:val="28"/>
        </w:rPr>
        <w:t xml:space="preserve"> </w:t>
      </w:r>
    </w:p>
    <w:p w:rsidR="00580748" w:rsidRDefault="00580748" w:rsidP="00580748">
      <w:pPr>
        <w:jc w:val="both"/>
        <w:rPr>
          <w:sz w:val="28"/>
          <w:szCs w:val="28"/>
        </w:rPr>
      </w:pPr>
    </w:p>
    <w:p w:rsidR="000F333C" w:rsidRDefault="00B51F60" w:rsidP="00FB1E3E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486400" cy="3200400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77B20" w:rsidRDefault="00177B20" w:rsidP="000F333C">
      <w:pPr>
        <w:jc w:val="both"/>
      </w:pPr>
      <w:r>
        <w:t xml:space="preserve">   диаграмма №2</w:t>
      </w:r>
    </w:p>
    <w:p w:rsidR="007F56E0" w:rsidRPr="000F333C" w:rsidRDefault="007F56E0" w:rsidP="000F333C">
      <w:pPr>
        <w:jc w:val="both"/>
        <w:rPr>
          <w:sz w:val="28"/>
          <w:szCs w:val="28"/>
        </w:rPr>
      </w:pPr>
    </w:p>
    <w:p w:rsidR="00FB1E3E" w:rsidRPr="00FB1E3E" w:rsidRDefault="006C767D" w:rsidP="00FB1E3E">
      <w:pPr>
        <w:jc w:val="both"/>
        <w:rPr>
          <w:sz w:val="28"/>
          <w:szCs w:val="28"/>
        </w:rPr>
      </w:pPr>
      <w:r w:rsidRPr="00FB1E3E">
        <w:rPr>
          <w:sz w:val="28"/>
          <w:szCs w:val="28"/>
        </w:rPr>
        <w:t xml:space="preserve">  </w:t>
      </w:r>
      <w:r w:rsidR="0065133D" w:rsidRPr="00FB1E3E">
        <w:rPr>
          <w:sz w:val="28"/>
          <w:szCs w:val="28"/>
        </w:rPr>
        <w:t xml:space="preserve">       </w:t>
      </w:r>
      <w:r w:rsidR="00FB1E3E" w:rsidRPr="00FB1E3E">
        <w:rPr>
          <w:sz w:val="28"/>
          <w:szCs w:val="28"/>
        </w:rPr>
        <w:t xml:space="preserve">В соответствии с действующим законодательством органы местного самоуправления городских и сельских поселений  исполняют в полном объеме полномочия по решению вопросов местного значения, что привело к общему увеличению (на 1605)  обращений граждан в администрации городских и сельских поселений. </w:t>
      </w:r>
    </w:p>
    <w:p w:rsidR="00FB1E3E" w:rsidRDefault="00FB1E3E" w:rsidP="00FB1E3E">
      <w:pPr>
        <w:rPr>
          <w:sz w:val="28"/>
          <w:szCs w:val="28"/>
        </w:rPr>
      </w:pPr>
      <w:r w:rsidRPr="00FB1E3E">
        <w:rPr>
          <w:sz w:val="28"/>
          <w:szCs w:val="28"/>
        </w:rPr>
        <w:t>Увеличились количество обращений в администрацию района</w:t>
      </w:r>
      <w:r>
        <w:rPr>
          <w:sz w:val="28"/>
          <w:szCs w:val="28"/>
        </w:rPr>
        <w:t xml:space="preserve"> -</w:t>
      </w:r>
      <w:r w:rsidRPr="00FB1E3E">
        <w:rPr>
          <w:sz w:val="28"/>
          <w:szCs w:val="28"/>
        </w:rPr>
        <w:t xml:space="preserve"> на 880</w:t>
      </w:r>
      <w:r>
        <w:rPr>
          <w:sz w:val="28"/>
          <w:szCs w:val="28"/>
        </w:rPr>
        <w:t>.</w:t>
      </w:r>
    </w:p>
    <w:p w:rsidR="00F5495F" w:rsidRPr="00FB1E3E" w:rsidRDefault="00F5495F" w:rsidP="00FB1E3E">
      <w:pPr>
        <w:rPr>
          <w:sz w:val="28"/>
          <w:szCs w:val="28"/>
        </w:rPr>
      </w:pPr>
    </w:p>
    <w:p w:rsidR="00B0750F" w:rsidRDefault="00B51F60" w:rsidP="0078441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26670</wp:posOffset>
            </wp:positionV>
            <wp:extent cx="6731000" cy="4129405"/>
            <wp:effectExtent l="0" t="0" r="0" b="0"/>
            <wp:wrapNone/>
            <wp:docPr id="9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81C" w:rsidRPr="00FB1E3E" w:rsidRDefault="0054681C" w:rsidP="00784418">
      <w:pPr>
        <w:rPr>
          <w:sz w:val="28"/>
          <w:szCs w:val="28"/>
        </w:rPr>
      </w:pPr>
    </w:p>
    <w:p w:rsidR="0054681C" w:rsidRPr="00FB1E3E" w:rsidRDefault="0054681C" w:rsidP="00784418">
      <w:pPr>
        <w:rPr>
          <w:sz w:val="28"/>
          <w:szCs w:val="28"/>
        </w:rPr>
      </w:pPr>
    </w:p>
    <w:p w:rsidR="0054681C" w:rsidRDefault="0054681C" w:rsidP="00784418"/>
    <w:p w:rsidR="0054681C" w:rsidRDefault="0054681C" w:rsidP="00784418"/>
    <w:p w:rsidR="0054681C" w:rsidRDefault="0054681C" w:rsidP="00784418"/>
    <w:p w:rsidR="0054681C" w:rsidRDefault="0054681C" w:rsidP="00784418"/>
    <w:p w:rsidR="0054681C" w:rsidRDefault="0054681C" w:rsidP="00784418"/>
    <w:p w:rsidR="0054681C" w:rsidRDefault="0054681C" w:rsidP="00784418"/>
    <w:p w:rsidR="0054681C" w:rsidRDefault="0054681C" w:rsidP="00784418"/>
    <w:p w:rsidR="0054681C" w:rsidRDefault="0054681C" w:rsidP="00784418"/>
    <w:p w:rsidR="0054681C" w:rsidRDefault="0054681C" w:rsidP="00784418"/>
    <w:p w:rsidR="0054681C" w:rsidRDefault="0054681C" w:rsidP="00784418"/>
    <w:p w:rsidR="0054681C" w:rsidRDefault="0054681C" w:rsidP="00784418"/>
    <w:p w:rsidR="0054681C" w:rsidRDefault="0054681C" w:rsidP="00784418"/>
    <w:p w:rsidR="0054681C" w:rsidRDefault="0054681C" w:rsidP="00784418"/>
    <w:p w:rsidR="0054681C" w:rsidRDefault="0054681C" w:rsidP="00784418"/>
    <w:p w:rsidR="0054681C" w:rsidRDefault="0054681C" w:rsidP="00784418"/>
    <w:p w:rsidR="0054681C" w:rsidRDefault="0054681C" w:rsidP="00784418"/>
    <w:p w:rsidR="0054681C" w:rsidRDefault="0054681C" w:rsidP="00784418"/>
    <w:p w:rsidR="0054681C" w:rsidRDefault="0054681C" w:rsidP="00784418"/>
    <w:p w:rsidR="0054681C" w:rsidRDefault="0054681C" w:rsidP="00784418"/>
    <w:p w:rsidR="0054681C" w:rsidRDefault="0054681C" w:rsidP="00784418"/>
    <w:p w:rsidR="0054681C" w:rsidRDefault="0054681C" w:rsidP="00784418"/>
    <w:p w:rsidR="0054681C" w:rsidRDefault="0054681C" w:rsidP="00784418"/>
    <w:p w:rsidR="00784418" w:rsidRDefault="00784418" w:rsidP="00784418">
      <w:r>
        <w:t xml:space="preserve">   диаграмма №3</w:t>
      </w:r>
    </w:p>
    <w:p w:rsidR="009244D6" w:rsidRDefault="009244D6" w:rsidP="00986073">
      <w:pPr>
        <w:jc w:val="center"/>
        <w:rPr>
          <w:b/>
          <w:sz w:val="28"/>
          <w:szCs w:val="28"/>
        </w:rPr>
      </w:pPr>
    </w:p>
    <w:p w:rsidR="00F81997" w:rsidRDefault="00F81997" w:rsidP="00986073">
      <w:pPr>
        <w:jc w:val="center"/>
        <w:rPr>
          <w:b/>
          <w:sz w:val="28"/>
          <w:szCs w:val="28"/>
        </w:rPr>
      </w:pPr>
    </w:p>
    <w:p w:rsidR="00115644" w:rsidRPr="00986073" w:rsidRDefault="00115644" w:rsidP="00986073">
      <w:pPr>
        <w:jc w:val="center"/>
        <w:rPr>
          <w:b/>
          <w:sz w:val="28"/>
          <w:szCs w:val="28"/>
        </w:rPr>
      </w:pPr>
      <w:r w:rsidRPr="00986073">
        <w:rPr>
          <w:b/>
          <w:sz w:val="28"/>
          <w:szCs w:val="28"/>
        </w:rPr>
        <w:t>Сравнительный график поступления обращений граждан в органы исполнительной власти Красногорского муниципального района</w:t>
      </w:r>
    </w:p>
    <w:p w:rsidR="00115644" w:rsidRDefault="00115644" w:rsidP="000659A5">
      <w:pPr>
        <w:jc w:val="center"/>
        <w:rPr>
          <w:b/>
          <w:sz w:val="28"/>
          <w:szCs w:val="28"/>
        </w:rPr>
      </w:pPr>
      <w:r w:rsidRPr="00986073">
        <w:rPr>
          <w:b/>
          <w:sz w:val="28"/>
          <w:szCs w:val="28"/>
        </w:rPr>
        <w:t xml:space="preserve">за последние </w:t>
      </w:r>
      <w:r w:rsidR="00881D63">
        <w:rPr>
          <w:b/>
          <w:sz w:val="28"/>
          <w:szCs w:val="28"/>
        </w:rPr>
        <w:t>де</w:t>
      </w:r>
      <w:r w:rsidR="000F4BD0">
        <w:rPr>
          <w:b/>
          <w:sz w:val="28"/>
          <w:szCs w:val="28"/>
        </w:rPr>
        <w:t>сять</w:t>
      </w:r>
      <w:r w:rsidRPr="00986073">
        <w:rPr>
          <w:b/>
          <w:sz w:val="28"/>
          <w:szCs w:val="28"/>
        </w:rPr>
        <w:t xml:space="preserve">  лет:</w:t>
      </w:r>
    </w:p>
    <w:p w:rsidR="000F4BD0" w:rsidRDefault="000F4BD0" w:rsidP="000659A5">
      <w:pPr>
        <w:jc w:val="center"/>
        <w:rPr>
          <w:b/>
          <w:sz w:val="28"/>
          <w:szCs w:val="28"/>
        </w:rPr>
      </w:pPr>
    </w:p>
    <w:p w:rsidR="000F4BD0" w:rsidRDefault="00B51F60" w:rsidP="000659A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-1346835</wp:posOffset>
            </wp:positionH>
            <wp:positionV relativeFrom="paragraph">
              <wp:posOffset>46355</wp:posOffset>
            </wp:positionV>
            <wp:extent cx="7756525" cy="3238500"/>
            <wp:effectExtent l="0" t="0" r="0" b="0"/>
            <wp:wrapNone/>
            <wp:docPr id="11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BD0" w:rsidRDefault="000F4BD0" w:rsidP="000659A5">
      <w:pPr>
        <w:jc w:val="center"/>
        <w:rPr>
          <w:b/>
          <w:sz w:val="28"/>
          <w:szCs w:val="28"/>
        </w:rPr>
      </w:pPr>
    </w:p>
    <w:p w:rsidR="000F4BD0" w:rsidRDefault="000F4BD0" w:rsidP="000659A5">
      <w:pPr>
        <w:jc w:val="center"/>
        <w:rPr>
          <w:b/>
          <w:sz w:val="28"/>
          <w:szCs w:val="28"/>
        </w:rPr>
      </w:pPr>
    </w:p>
    <w:p w:rsidR="000F4BD0" w:rsidRDefault="000F4BD0" w:rsidP="000659A5">
      <w:pPr>
        <w:jc w:val="center"/>
        <w:rPr>
          <w:b/>
          <w:sz w:val="28"/>
          <w:szCs w:val="28"/>
        </w:rPr>
      </w:pPr>
    </w:p>
    <w:p w:rsidR="000F4BD0" w:rsidRDefault="000F4BD0" w:rsidP="000659A5">
      <w:pPr>
        <w:jc w:val="center"/>
        <w:rPr>
          <w:b/>
          <w:sz w:val="28"/>
          <w:szCs w:val="28"/>
        </w:rPr>
      </w:pPr>
    </w:p>
    <w:p w:rsidR="000F4BD0" w:rsidRDefault="000F4BD0" w:rsidP="000659A5">
      <w:pPr>
        <w:jc w:val="center"/>
        <w:rPr>
          <w:b/>
          <w:sz w:val="28"/>
          <w:szCs w:val="28"/>
        </w:rPr>
      </w:pPr>
    </w:p>
    <w:p w:rsidR="000F4BD0" w:rsidRDefault="000F4BD0" w:rsidP="000659A5">
      <w:pPr>
        <w:jc w:val="center"/>
        <w:rPr>
          <w:b/>
          <w:sz w:val="28"/>
          <w:szCs w:val="28"/>
        </w:rPr>
      </w:pPr>
    </w:p>
    <w:p w:rsidR="000F4BD0" w:rsidRDefault="000F4BD0" w:rsidP="000659A5">
      <w:pPr>
        <w:jc w:val="center"/>
        <w:rPr>
          <w:b/>
          <w:sz w:val="28"/>
          <w:szCs w:val="28"/>
        </w:rPr>
      </w:pPr>
    </w:p>
    <w:p w:rsidR="000F4BD0" w:rsidRDefault="000F4BD0" w:rsidP="000659A5">
      <w:pPr>
        <w:jc w:val="center"/>
        <w:rPr>
          <w:b/>
          <w:sz w:val="28"/>
          <w:szCs w:val="28"/>
        </w:rPr>
      </w:pPr>
    </w:p>
    <w:p w:rsidR="000F4BD0" w:rsidRDefault="000F4BD0" w:rsidP="000659A5">
      <w:pPr>
        <w:jc w:val="center"/>
        <w:rPr>
          <w:b/>
          <w:sz w:val="28"/>
          <w:szCs w:val="28"/>
        </w:rPr>
      </w:pPr>
    </w:p>
    <w:p w:rsidR="000F4BD0" w:rsidRDefault="000F4BD0" w:rsidP="000659A5">
      <w:pPr>
        <w:jc w:val="center"/>
        <w:rPr>
          <w:b/>
          <w:sz w:val="28"/>
          <w:szCs w:val="28"/>
        </w:rPr>
      </w:pPr>
    </w:p>
    <w:p w:rsidR="000F4BD0" w:rsidRDefault="000F4BD0" w:rsidP="000659A5">
      <w:pPr>
        <w:jc w:val="center"/>
        <w:rPr>
          <w:b/>
          <w:sz w:val="28"/>
          <w:szCs w:val="28"/>
        </w:rPr>
      </w:pPr>
    </w:p>
    <w:p w:rsidR="000F4BD0" w:rsidRDefault="000F4BD0" w:rsidP="000659A5">
      <w:pPr>
        <w:jc w:val="center"/>
        <w:rPr>
          <w:b/>
          <w:sz w:val="28"/>
          <w:szCs w:val="28"/>
        </w:rPr>
      </w:pPr>
    </w:p>
    <w:p w:rsidR="000F4BD0" w:rsidRDefault="000F4BD0" w:rsidP="000659A5">
      <w:pPr>
        <w:jc w:val="center"/>
        <w:rPr>
          <w:b/>
          <w:sz w:val="28"/>
          <w:szCs w:val="28"/>
        </w:rPr>
      </w:pPr>
    </w:p>
    <w:p w:rsidR="000F4BD0" w:rsidRDefault="000F4BD0" w:rsidP="000659A5">
      <w:pPr>
        <w:jc w:val="center"/>
        <w:rPr>
          <w:b/>
          <w:sz w:val="28"/>
          <w:szCs w:val="28"/>
        </w:rPr>
      </w:pPr>
    </w:p>
    <w:p w:rsidR="00115644" w:rsidRDefault="00115644" w:rsidP="005C75AF">
      <w:pPr>
        <w:jc w:val="both"/>
        <w:rPr>
          <w:b/>
          <w:i/>
          <w:sz w:val="32"/>
          <w:szCs w:val="32"/>
        </w:rPr>
      </w:pPr>
      <w:r>
        <w:t>диаграмма №</w:t>
      </w:r>
      <w:r w:rsidR="004E12EB">
        <w:t>4</w:t>
      </w:r>
    </w:p>
    <w:p w:rsidR="007A2476" w:rsidRDefault="002619FE" w:rsidP="003A67E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2116">
        <w:rPr>
          <w:sz w:val="28"/>
          <w:szCs w:val="28"/>
        </w:rPr>
        <w:t xml:space="preserve"> </w:t>
      </w:r>
      <w:r w:rsidR="000A2116">
        <w:rPr>
          <w:rStyle w:val="2"/>
          <w:rFonts w:eastAsia="Arial Unicode MS"/>
          <w:sz w:val="28"/>
          <w:szCs w:val="28"/>
        </w:rPr>
        <w:t xml:space="preserve">      </w:t>
      </w:r>
      <w:r w:rsidR="003A67E7">
        <w:rPr>
          <w:sz w:val="28"/>
          <w:szCs w:val="28"/>
        </w:rPr>
        <w:t xml:space="preserve">     </w:t>
      </w:r>
    </w:p>
    <w:p w:rsidR="004F2284" w:rsidRPr="003A67E7" w:rsidRDefault="004F2284" w:rsidP="003A67E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A67E7">
        <w:rPr>
          <w:rFonts w:ascii="Times New Roman" w:hAnsi="Times New Roman" w:cs="Times New Roman"/>
          <w:sz w:val="28"/>
          <w:szCs w:val="28"/>
        </w:rPr>
        <w:t>В соответствии с проведенным анализом по результативности рассмотрения обращений граждан установлено, что:</w:t>
      </w:r>
    </w:p>
    <w:p w:rsidR="004F2284" w:rsidRPr="004F2284" w:rsidRDefault="004F2284" w:rsidP="004F2284">
      <w:pPr>
        <w:rPr>
          <w:color w:val="000000"/>
          <w:sz w:val="28"/>
          <w:szCs w:val="28"/>
          <w:u w:val="single"/>
        </w:rPr>
      </w:pPr>
      <w:r w:rsidRPr="004F2284">
        <w:rPr>
          <w:color w:val="000000"/>
          <w:sz w:val="28"/>
          <w:szCs w:val="28"/>
          <w:u w:val="single"/>
        </w:rPr>
        <w:t xml:space="preserve">- </w:t>
      </w:r>
      <w:proofErr w:type="gramStart"/>
      <w:r w:rsidRPr="004F2284">
        <w:rPr>
          <w:color w:val="000000"/>
          <w:sz w:val="28"/>
          <w:szCs w:val="28"/>
          <w:u w:val="single"/>
        </w:rPr>
        <w:t>решены</w:t>
      </w:r>
      <w:proofErr w:type="gramEnd"/>
      <w:r w:rsidRPr="004F2284">
        <w:rPr>
          <w:color w:val="000000"/>
          <w:sz w:val="28"/>
          <w:szCs w:val="28"/>
          <w:u w:val="single"/>
        </w:rPr>
        <w:t xml:space="preserve"> положительно – 6</w:t>
      </w:r>
      <w:r w:rsidR="00CF75FB">
        <w:rPr>
          <w:color w:val="000000"/>
          <w:sz w:val="28"/>
          <w:szCs w:val="28"/>
          <w:u w:val="single"/>
        </w:rPr>
        <w:t>804</w:t>
      </w:r>
      <w:r w:rsidRPr="004F2284">
        <w:rPr>
          <w:color w:val="000000"/>
          <w:sz w:val="28"/>
          <w:szCs w:val="28"/>
          <w:u w:val="single"/>
        </w:rPr>
        <w:t xml:space="preserve"> обращений </w:t>
      </w:r>
      <w:r w:rsidR="00F004B5">
        <w:rPr>
          <w:color w:val="000000"/>
          <w:sz w:val="28"/>
          <w:szCs w:val="28"/>
          <w:u w:val="single"/>
        </w:rPr>
        <w:t>–</w:t>
      </w:r>
      <w:r w:rsidRPr="004F2284">
        <w:rPr>
          <w:color w:val="000000"/>
          <w:sz w:val="28"/>
          <w:szCs w:val="28"/>
          <w:u w:val="single"/>
        </w:rPr>
        <w:t xml:space="preserve"> </w:t>
      </w:r>
      <w:r w:rsidR="007C27AE">
        <w:rPr>
          <w:color w:val="000000"/>
          <w:sz w:val="28"/>
          <w:szCs w:val="28"/>
          <w:u w:val="single"/>
        </w:rPr>
        <w:t>37</w:t>
      </w:r>
      <w:r w:rsidRPr="004F2284">
        <w:rPr>
          <w:color w:val="000000"/>
          <w:sz w:val="28"/>
          <w:szCs w:val="28"/>
          <w:u w:val="single"/>
        </w:rPr>
        <w:t>%;</w:t>
      </w:r>
    </w:p>
    <w:p w:rsidR="004F2284" w:rsidRPr="004F2284" w:rsidRDefault="004F2284" w:rsidP="004F2284">
      <w:pPr>
        <w:rPr>
          <w:color w:val="000000"/>
          <w:sz w:val="28"/>
          <w:szCs w:val="28"/>
          <w:u w:val="single"/>
        </w:rPr>
      </w:pPr>
      <w:r w:rsidRPr="004F2284">
        <w:rPr>
          <w:color w:val="000000"/>
          <w:sz w:val="28"/>
          <w:szCs w:val="28"/>
          <w:u w:val="single"/>
        </w:rPr>
        <w:t xml:space="preserve">- отказано - </w:t>
      </w:r>
      <w:r w:rsidR="00CF75FB">
        <w:rPr>
          <w:color w:val="000000"/>
          <w:sz w:val="28"/>
          <w:szCs w:val="28"/>
          <w:u w:val="single"/>
        </w:rPr>
        <w:t>573</w:t>
      </w:r>
      <w:r w:rsidRPr="004F2284">
        <w:rPr>
          <w:color w:val="000000"/>
          <w:sz w:val="28"/>
          <w:szCs w:val="28"/>
          <w:u w:val="single"/>
        </w:rPr>
        <w:t xml:space="preserve"> обращений  - </w:t>
      </w:r>
      <w:r w:rsidR="007C27AE">
        <w:rPr>
          <w:color w:val="000000"/>
          <w:sz w:val="28"/>
          <w:szCs w:val="28"/>
          <w:u w:val="single"/>
        </w:rPr>
        <w:t>3</w:t>
      </w:r>
      <w:r w:rsidRPr="004F2284">
        <w:rPr>
          <w:color w:val="000000"/>
          <w:sz w:val="28"/>
          <w:szCs w:val="28"/>
          <w:u w:val="single"/>
        </w:rPr>
        <w:t>%;</w:t>
      </w:r>
    </w:p>
    <w:p w:rsidR="004F2284" w:rsidRDefault="004F2284" w:rsidP="004F2284">
      <w:pPr>
        <w:rPr>
          <w:color w:val="000000"/>
          <w:sz w:val="28"/>
          <w:szCs w:val="28"/>
          <w:u w:val="single"/>
        </w:rPr>
      </w:pPr>
      <w:r w:rsidRPr="004F2284">
        <w:rPr>
          <w:color w:val="000000"/>
          <w:sz w:val="28"/>
          <w:szCs w:val="28"/>
          <w:u w:val="single"/>
        </w:rPr>
        <w:t>-</w:t>
      </w:r>
      <w:r w:rsidR="00F07D04">
        <w:rPr>
          <w:color w:val="000000"/>
          <w:sz w:val="28"/>
          <w:szCs w:val="28"/>
          <w:u w:val="single"/>
        </w:rPr>
        <w:t xml:space="preserve"> </w:t>
      </w:r>
      <w:r w:rsidRPr="004F2284">
        <w:rPr>
          <w:color w:val="000000"/>
          <w:sz w:val="28"/>
          <w:szCs w:val="28"/>
          <w:u w:val="single"/>
        </w:rPr>
        <w:t xml:space="preserve">разъяснено - </w:t>
      </w:r>
      <w:r w:rsidR="00CF75FB">
        <w:rPr>
          <w:color w:val="000000"/>
          <w:sz w:val="28"/>
          <w:szCs w:val="28"/>
          <w:u w:val="single"/>
        </w:rPr>
        <w:t>11276</w:t>
      </w:r>
      <w:r w:rsidRPr="004F2284">
        <w:rPr>
          <w:color w:val="000000"/>
          <w:sz w:val="28"/>
          <w:szCs w:val="28"/>
          <w:u w:val="single"/>
        </w:rPr>
        <w:t xml:space="preserve"> обращений-</w:t>
      </w:r>
      <w:r w:rsidR="007C27AE">
        <w:rPr>
          <w:color w:val="000000"/>
          <w:sz w:val="28"/>
          <w:szCs w:val="28"/>
          <w:u w:val="single"/>
        </w:rPr>
        <w:t>60</w:t>
      </w:r>
      <w:r w:rsidRPr="004F2284">
        <w:rPr>
          <w:color w:val="000000"/>
          <w:sz w:val="28"/>
          <w:szCs w:val="28"/>
          <w:u w:val="single"/>
        </w:rPr>
        <w:t>%.</w:t>
      </w:r>
    </w:p>
    <w:p w:rsidR="001E2C22" w:rsidRDefault="001E2C22" w:rsidP="004F2284">
      <w:pPr>
        <w:rPr>
          <w:color w:val="000000"/>
          <w:sz w:val="28"/>
          <w:szCs w:val="28"/>
          <w:u w:val="single"/>
        </w:rPr>
      </w:pPr>
    </w:p>
    <w:p w:rsidR="001E2C22" w:rsidRDefault="00B51F60" w:rsidP="004F2284">
      <w:pPr>
        <w:rPr>
          <w:color w:val="000000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5856605" cy="3517265"/>
            <wp:effectExtent l="0" t="0" r="10795" b="26035"/>
            <wp:docPr id="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E12EB" w:rsidRDefault="004E12EB" w:rsidP="00BE16D4">
      <w:pPr>
        <w:jc w:val="both"/>
        <w:rPr>
          <w:sz w:val="22"/>
          <w:szCs w:val="22"/>
        </w:rPr>
      </w:pPr>
      <w:r w:rsidRPr="004E12EB">
        <w:rPr>
          <w:sz w:val="22"/>
          <w:szCs w:val="22"/>
        </w:rPr>
        <w:t>Диаграмма№</w:t>
      </w:r>
      <w:r w:rsidR="00AD3F93">
        <w:rPr>
          <w:sz w:val="22"/>
          <w:szCs w:val="22"/>
        </w:rPr>
        <w:t>5</w:t>
      </w:r>
    </w:p>
    <w:p w:rsidR="003A67E7" w:rsidRDefault="007F56E0" w:rsidP="000A2116">
      <w:pPr>
        <w:pStyle w:val="a6"/>
        <w:jc w:val="both"/>
        <w:rPr>
          <w:rStyle w:val="2"/>
          <w:rFonts w:eastAsia="Arial Unicode MS"/>
          <w:sz w:val="28"/>
          <w:szCs w:val="28"/>
        </w:rPr>
      </w:pPr>
      <w:r w:rsidRPr="000E3A9B">
        <w:rPr>
          <w:rStyle w:val="2"/>
          <w:rFonts w:eastAsia="Arial Unicode MS"/>
          <w:sz w:val="28"/>
          <w:szCs w:val="28"/>
        </w:rPr>
        <w:t xml:space="preserve">     </w:t>
      </w:r>
    </w:p>
    <w:p w:rsidR="003A67E7" w:rsidRDefault="003A67E7" w:rsidP="005C0E0D">
      <w:pPr>
        <w:jc w:val="both"/>
        <w:rPr>
          <w:sz w:val="28"/>
          <w:szCs w:val="28"/>
        </w:rPr>
      </w:pPr>
      <w:r w:rsidRPr="000E3A9B">
        <w:rPr>
          <w:rStyle w:val="2"/>
          <w:rFonts w:eastAsia="Arial Unicode MS"/>
          <w:sz w:val="28"/>
          <w:szCs w:val="28"/>
        </w:rPr>
        <w:t xml:space="preserve">     </w:t>
      </w:r>
      <w:r w:rsidR="00A65A1C" w:rsidRPr="000A2116">
        <w:rPr>
          <w:sz w:val="28"/>
          <w:szCs w:val="28"/>
        </w:rPr>
        <w:t xml:space="preserve">  </w:t>
      </w:r>
    </w:p>
    <w:p w:rsidR="001041FC" w:rsidRPr="000A2116" w:rsidRDefault="003A67E7" w:rsidP="00A0059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987A6D" w:rsidRPr="000A2116">
        <w:rPr>
          <w:sz w:val="28"/>
          <w:szCs w:val="28"/>
        </w:rPr>
        <w:t>Принято граждан на личном приё</w:t>
      </w:r>
      <w:r w:rsidR="007236E8" w:rsidRPr="000A2116">
        <w:rPr>
          <w:sz w:val="28"/>
          <w:szCs w:val="28"/>
        </w:rPr>
        <w:t>ме</w:t>
      </w:r>
      <w:r w:rsidR="006844DD" w:rsidRPr="000A2116">
        <w:rPr>
          <w:sz w:val="28"/>
          <w:szCs w:val="28"/>
        </w:rPr>
        <w:t xml:space="preserve"> </w:t>
      </w:r>
      <w:r w:rsidR="001041FC" w:rsidRPr="000A2116">
        <w:rPr>
          <w:sz w:val="28"/>
          <w:szCs w:val="28"/>
        </w:rPr>
        <w:t>должностными</w:t>
      </w:r>
      <w:r w:rsidR="00A42E8C" w:rsidRPr="000A2116">
        <w:rPr>
          <w:sz w:val="28"/>
          <w:szCs w:val="28"/>
        </w:rPr>
        <w:t xml:space="preserve"> </w:t>
      </w:r>
      <w:r w:rsidR="001041FC" w:rsidRPr="000A2116">
        <w:rPr>
          <w:sz w:val="28"/>
          <w:szCs w:val="28"/>
        </w:rPr>
        <w:t>лицами</w:t>
      </w:r>
      <w:r w:rsidR="00A61053" w:rsidRPr="000A2116">
        <w:rPr>
          <w:sz w:val="28"/>
          <w:szCs w:val="28"/>
        </w:rPr>
        <w:t xml:space="preserve"> </w:t>
      </w:r>
      <w:r w:rsidR="00A65A1C" w:rsidRPr="000A2116">
        <w:rPr>
          <w:sz w:val="28"/>
          <w:szCs w:val="28"/>
        </w:rPr>
        <w:t>о</w:t>
      </w:r>
      <w:r w:rsidR="00DE68C8" w:rsidRPr="000A2116">
        <w:rPr>
          <w:sz w:val="28"/>
          <w:szCs w:val="28"/>
        </w:rPr>
        <w:t xml:space="preserve">рганов </w:t>
      </w:r>
      <w:r w:rsidR="00B04F19" w:rsidRPr="000A2116">
        <w:rPr>
          <w:sz w:val="28"/>
          <w:szCs w:val="28"/>
        </w:rPr>
        <w:t>самоуправления</w:t>
      </w:r>
      <w:r w:rsidR="00A61053" w:rsidRPr="000A2116">
        <w:rPr>
          <w:sz w:val="28"/>
          <w:szCs w:val="28"/>
        </w:rPr>
        <w:t xml:space="preserve">– </w:t>
      </w:r>
      <w:r w:rsidR="007C27AE">
        <w:rPr>
          <w:sz w:val="28"/>
          <w:szCs w:val="28"/>
        </w:rPr>
        <w:t>2125</w:t>
      </w:r>
      <w:r w:rsidR="00C072A5" w:rsidRPr="000A2116">
        <w:rPr>
          <w:sz w:val="28"/>
          <w:szCs w:val="28"/>
        </w:rPr>
        <w:t xml:space="preserve"> </w:t>
      </w:r>
      <w:r w:rsidR="00A00598" w:rsidRPr="000A2116">
        <w:rPr>
          <w:sz w:val="28"/>
          <w:szCs w:val="28"/>
        </w:rPr>
        <w:t xml:space="preserve"> человек, что на </w:t>
      </w:r>
      <w:r w:rsidR="00DB428C">
        <w:rPr>
          <w:sz w:val="28"/>
          <w:szCs w:val="28"/>
        </w:rPr>
        <w:t>96</w:t>
      </w:r>
      <w:r w:rsidR="0058673E">
        <w:rPr>
          <w:sz w:val="28"/>
          <w:szCs w:val="28"/>
        </w:rPr>
        <w:t xml:space="preserve"> </w:t>
      </w:r>
      <w:r w:rsidR="00A00598" w:rsidRPr="000A2116">
        <w:rPr>
          <w:sz w:val="28"/>
          <w:szCs w:val="28"/>
        </w:rPr>
        <w:t xml:space="preserve"> человек</w:t>
      </w:r>
      <w:r w:rsidR="00EB089C" w:rsidRPr="000A2116">
        <w:rPr>
          <w:sz w:val="28"/>
          <w:szCs w:val="28"/>
        </w:rPr>
        <w:t xml:space="preserve"> меньше</w:t>
      </w:r>
      <w:r w:rsidR="00A00598" w:rsidRPr="000A2116">
        <w:rPr>
          <w:sz w:val="28"/>
          <w:szCs w:val="28"/>
        </w:rPr>
        <w:t>, чем в 20</w:t>
      </w:r>
      <w:r w:rsidR="009244D6" w:rsidRPr="000A2116">
        <w:rPr>
          <w:sz w:val="28"/>
          <w:szCs w:val="28"/>
        </w:rPr>
        <w:t>1</w:t>
      </w:r>
      <w:r w:rsidR="00DB428C">
        <w:rPr>
          <w:sz w:val="28"/>
          <w:szCs w:val="28"/>
        </w:rPr>
        <w:t>2</w:t>
      </w:r>
      <w:r w:rsidR="00A00598" w:rsidRPr="000A2116">
        <w:rPr>
          <w:sz w:val="28"/>
          <w:szCs w:val="28"/>
        </w:rPr>
        <w:t xml:space="preserve"> году.</w:t>
      </w:r>
    </w:p>
    <w:p w:rsidR="007236E8" w:rsidRDefault="007236E8" w:rsidP="006844DD">
      <w:pPr>
        <w:rPr>
          <w:sz w:val="28"/>
          <w:szCs w:val="28"/>
        </w:rPr>
      </w:pPr>
      <w:r w:rsidRPr="000A2116">
        <w:rPr>
          <w:sz w:val="28"/>
          <w:szCs w:val="28"/>
        </w:rPr>
        <w:t>в том числе:</w:t>
      </w:r>
    </w:p>
    <w:p w:rsidR="007236E8" w:rsidRPr="000A2116" w:rsidRDefault="007236E8" w:rsidP="006844DD">
      <w:pPr>
        <w:rPr>
          <w:sz w:val="28"/>
          <w:szCs w:val="28"/>
        </w:rPr>
      </w:pPr>
      <w:r w:rsidRPr="000A2116">
        <w:rPr>
          <w:sz w:val="28"/>
          <w:szCs w:val="28"/>
        </w:rPr>
        <w:t>- главой Красногорс</w:t>
      </w:r>
      <w:r w:rsidR="009A3B94" w:rsidRPr="000A2116">
        <w:rPr>
          <w:sz w:val="28"/>
          <w:szCs w:val="28"/>
        </w:rPr>
        <w:t xml:space="preserve">кого муниципального района – </w:t>
      </w:r>
      <w:r w:rsidR="007F56E0">
        <w:rPr>
          <w:sz w:val="28"/>
          <w:szCs w:val="28"/>
        </w:rPr>
        <w:t>2</w:t>
      </w:r>
      <w:r w:rsidR="00DB428C">
        <w:rPr>
          <w:sz w:val="28"/>
          <w:szCs w:val="28"/>
        </w:rPr>
        <w:t>47</w:t>
      </w:r>
      <w:r w:rsidR="00EB089C" w:rsidRPr="000A2116">
        <w:rPr>
          <w:sz w:val="28"/>
          <w:szCs w:val="28"/>
        </w:rPr>
        <w:t xml:space="preserve"> (</w:t>
      </w:r>
      <w:r w:rsidR="00AB0315">
        <w:rPr>
          <w:sz w:val="28"/>
          <w:szCs w:val="28"/>
        </w:rPr>
        <w:t>225</w:t>
      </w:r>
      <w:r w:rsidR="007F56E0">
        <w:rPr>
          <w:sz w:val="28"/>
          <w:szCs w:val="28"/>
        </w:rPr>
        <w:t xml:space="preserve"> </w:t>
      </w:r>
      <w:r w:rsidR="001615E5" w:rsidRPr="000A2116">
        <w:rPr>
          <w:sz w:val="28"/>
          <w:szCs w:val="28"/>
        </w:rPr>
        <w:t xml:space="preserve"> в 20</w:t>
      </w:r>
      <w:r w:rsidR="009244D6" w:rsidRPr="000A2116">
        <w:rPr>
          <w:sz w:val="28"/>
          <w:szCs w:val="28"/>
        </w:rPr>
        <w:t>1</w:t>
      </w:r>
      <w:r w:rsidR="00AB0315">
        <w:rPr>
          <w:sz w:val="28"/>
          <w:szCs w:val="28"/>
        </w:rPr>
        <w:t>2</w:t>
      </w:r>
      <w:r w:rsidR="001615E5" w:rsidRPr="000A2116">
        <w:rPr>
          <w:sz w:val="28"/>
          <w:szCs w:val="28"/>
        </w:rPr>
        <w:t>г.</w:t>
      </w:r>
      <w:r w:rsidR="00EB089C" w:rsidRPr="000A2116">
        <w:rPr>
          <w:sz w:val="28"/>
          <w:szCs w:val="28"/>
        </w:rPr>
        <w:t>)</w:t>
      </w:r>
      <w:r w:rsidRPr="000A2116">
        <w:rPr>
          <w:sz w:val="28"/>
          <w:szCs w:val="28"/>
        </w:rPr>
        <w:t>,</w:t>
      </w:r>
    </w:p>
    <w:p w:rsidR="00C072A5" w:rsidRPr="000A2116" w:rsidRDefault="00C072A5" w:rsidP="00C072A5">
      <w:pPr>
        <w:rPr>
          <w:sz w:val="28"/>
          <w:szCs w:val="28"/>
        </w:rPr>
      </w:pPr>
      <w:r w:rsidRPr="000A2116">
        <w:rPr>
          <w:sz w:val="28"/>
          <w:szCs w:val="28"/>
        </w:rPr>
        <w:t>-</w:t>
      </w:r>
      <w:r w:rsidR="002619FE" w:rsidRPr="000A2116">
        <w:rPr>
          <w:sz w:val="28"/>
          <w:szCs w:val="28"/>
        </w:rPr>
        <w:t xml:space="preserve"> </w:t>
      </w:r>
      <w:r w:rsidRPr="000A2116">
        <w:rPr>
          <w:sz w:val="28"/>
          <w:szCs w:val="28"/>
        </w:rPr>
        <w:t xml:space="preserve">главой городского поселения Красногорск – </w:t>
      </w:r>
      <w:r w:rsidR="00DB428C">
        <w:rPr>
          <w:sz w:val="28"/>
          <w:szCs w:val="28"/>
        </w:rPr>
        <w:t>71</w:t>
      </w:r>
      <w:r w:rsidR="00EB089C" w:rsidRPr="000A2116">
        <w:rPr>
          <w:sz w:val="28"/>
          <w:szCs w:val="28"/>
        </w:rPr>
        <w:t xml:space="preserve"> (</w:t>
      </w:r>
      <w:r w:rsidR="00AB0315">
        <w:rPr>
          <w:sz w:val="28"/>
          <w:szCs w:val="28"/>
        </w:rPr>
        <w:t>49</w:t>
      </w:r>
      <w:r w:rsidR="007F56E0">
        <w:rPr>
          <w:sz w:val="28"/>
          <w:szCs w:val="28"/>
        </w:rPr>
        <w:t xml:space="preserve"> </w:t>
      </w:r>
      <w:r w:rsidR="001615E5" w:rsidRPr="000A2116">
        <w:rPr>
          <w:sz w:val="28"/>
          <w:szCs w:val="28"/>
        </w:rPr>
        <w:t xml:space="preserve"> в 20</w:t>
      </w:r>
      <w:r w:rsidR="009244D6" w:rsidRPr="000A2116">
        <w:rPr>
          <w:sz w:val="28"/>
          <w:szCs w:val="28"/>
        </w:rPr>
        <w:t>1</w:t>
      </w:r>
      <w:r w:rsidR="00AB0315">
        <w:rPr>
          <w:sz w:val="28"/>
          <w:szCs w:val="28"/>
        </w:rPr>
        <w:t>2</w:t>
      </w:r>
      <w:r w:rsidR="001615E5" w:rsidRPr="000A2116">
        <w:rPr>
          <w:sz w:val="28"/>
          <w:szCs w:val="28"/>
        </w:rPr>
        <w:t>г.</w:t>
      </w:r>
      <w:r w:rsidR="00EB089C" w:rsidRPr="000A2116">
        <w:rPr>
          <w:sz w:val="28"/>
          <w:szCs w:val="28"/>
        </w:rPr>
        <w:t>),</w:t>
      </w:r>
    </w:p>
    <w:p w:rsidR="00C072A5" w:rsidRPr="000A2116" w:rsidRDefault="00C072A5" w:rsidP="00C072A5">
      <w:pPr>
        <w:rPr>
          <w:sz w:val="28"/>
          <w:szCs w:val="28"/>
        </w:rPr>
      </w:pPr>
      <w:r w:rsidRPr="000A2116">
        <w:rPr>
          <w:sz w:val="28"/>
          <w:szCs w:val="28"/>
        </w:rPr>
        <w:t xml:space="preserve">- главой городского поселения Нахабино – </w:t>
      </w:r>
      <w:r w:rsidR="009244D6" w:rsidRPr="000A2116">
        <w:rPr>
          <w:sz w:val="28"/>
          <w:szCs w:val="28"/>
        </w:rPr>
        <w:t>9</w:t>
      </w:r>
      <w:r w:rsidR="00DB428C">
        <w:rPr>
          <w:sz w:val="28"/>
          <w:szCs w:val="28"/>
        </w:rPr>
        <w:t>6</w:t>
      </w:r>
      <w:r w:rsidR="00EB089C" w:rsidRPr="000A2116">
        <w:rPr>
          <w:sz w:val="28"/>
          <w:szCs w:val="28"/>
        </w:rPr>
        <w:t xml:space="preserve"> (</w:t>
      </w:r>
      <w:r w:rsidR="007F56E0">
        <w:rPr>
          <w:sz w:val="28"/>
          <w:szCs w:val="28"/>
        </w:rPr>
        <w:t>9</w:t>
      </w:r>
      <w:r w:rsidR="00DB428C">
        <w:rPr>
          <w:sz w:val="28"/>
          <w:szCs w:val="28"/>
        </w:rPr>
        <w:t>8</w:t>
      </w:r>
      <w:r w:rsidR="001615E5" w:rsidRPr="000A2116">
        <w:rPr>
          <w:sz w:val="28"/>
          <w:szCs w:val="28"/>
        </w:rPr>
        <w:t xml:space="preserve"> в 20</w:t>
      </w:r>
      <w:r w:rsidR="009244D6" w:rsidRPr="000A2116">
        <w:rPr>
          <w:sz w:val="28"/>
          <w:szCs w:val="28"/>
        </w:rPr>
        <w:t>1</w:t>
      </w:r>
      <w:r w:rsidR="00DB428C">
        <w:rPr>
          <w:sz w:val="28"/>
          <w:szCs w:val="28"/>
        </w:rPr>
        <w:t>2</w:t>
      </w:r>
      <w:r w:rsidR="001615E5" w:rsidRPr="000A2116">
        <w:rPr>
          <w:sz w:val="28"/>
          <w:szCs w:val="28"/>
        </w:rPr>
        <w:t>г.</w:t>
      </w:r>
      <w:r w:rsidR="00EB089C" w:rsidRPr="000A2116">
        <w:rPr>
          <w:sz w:val="28"/>
          <w:szCs w:val="28"/>
        </w:rPr>
        <w:t>)</w:t>
      </w:r>
      <w:r w:rsidRPr="000A2116">
        <w:rPr>
          <w:sz w:val="28"/>
          <w:szCs w:val="28"/>
        </w:rPr>
        <w:t>,</w:t>
      </w:r>
    </w:p>
    <w:p w:rsidR="00C072A5" w:rsidRPr="000A2116" w:rsidRDefault="00C072A5" w:rsidP="00C072A5">
      <w:pPr>
        <w:rPr>
          <w:sz w:val="28"/>
          <w:szCs w:val="28"/>
        </w:rPr>
      </w:pPr>
      <w:r w:rsidRPr="000A2116">
        <w:rPr>
          <w:sz w:val="28"/>
          <w:szCs w:val="28"/>
        </w:rPr>
        <w:t xml:space="preserve">- главой  сельского поселения </w:t>
      </w:r>
      <w:proofErr w:type="spellStart"/>
      <w:r w:rsidRPr="000A2116">
        <w:rPr>
          <w:sz w:val="28"/>
          <w:szCs w:val="28"/>
        </w:rPr>
        <w:t>Ильинское</w:t>
      </w:r>
      <w:proofErr w:type="spellEnd"/>
      <w:r w:rsidRPr="000A2116">
        <w:rPr>
          <w:sz w:val="28"/>
          <w:szCs w:val="28"/>
        </w:rPr>
        <w:t xml:space="preserve"> – </w:t>
      </w:r>
      <w:r w:rsidR="00DB428C">
        <w:rPr>
          <w:sz w:val="28"/>
          <w:szCs w:val="28"/>
        </w:rPr>
        <w:t>82</w:t>
      </w:r>
      <w:r w:rsidR="00EB089C" w:rsidRPr="000A2116">
        <w:rPr>
          <w:sz w:val="28"/>
          <w:szCs w:val="28"/>
        </w:rPr>
        <w:t xml:space="preserve"> (</w:t>
      </w:r>
      <w:r w:rsidR="00DB428C">
        <w:rPr>
          <w:sz w:val="28"/>
          <w:szCs w:val="28"/>
        </w:rPr>
        <w:t>41</w:t>
      </w:r>
      <w:r w:rsidR="001615E5" w:rsidRPr="000A2116">
        <w:rPr>
          <w:sz w:val="28"/>
          <w:szCs w:val="28"/>
        </w:rPr>
        <w:t xml:space="preserve"> в 20</w:t>
      </w:r>
      <w:r w:rsidR="009244D6" w:rsidRPr="000A2116">
        <w:rPr>
          <w:sz w:val="28"/>
          <w:szCs w:val="28"/>
        </w:rPr>
        <w:t>1</w:t>
      </w:r>
      <w:r w:rsidR="00DB428C">
        <w:rPr>
          <w:sz w:val="28"/>
          <w:szCs w:val="28"/>
        </w:rPr>
        <w:t>2</w:t>
      </w:r>
      <w:r w:rsidR="001615E5" w:rsidRPr="000A2116">
        <w:rPr>
          <w:sz w:val="28"/>
          <w:szCs w:val="28"/>
        </w:rPr>
        <w:t>г.</w:t>
      </w:r>
      <w:r w:rsidR="00EB089C" w:rsidRPr="000A2116">
        <w:rPr>
          <w:sz w:val="28"/>
          <w:szCs w:val="28"/>
        </w:rPr>
        <w:t>)</w:t>
      </w:r>
      <w:r w:rsidRPr="000A2116">
        <w:rPr>
          <w:sz w:val="28"/>
          <w:szCs w:val="28"/>
        </w:rPr>
        <w:t>,</w:t>
      </w:r>
    </w:p>
    <w:p w:rsidR="006343D7" w:rsidRPr="000A2116" w:rsidRDefault="006343D7" w:rsidP="006343D7">
      <w:pPr>
        <w:rPr>
          <w:sz w:val="28"/>
          <w:szCs w:val="28"/>
        </w:rPr>
      </w:pPr>
      <w:r w:rsidRPr="000A2116">
        <w:rPr>
          <w:sz w:val="28"/>
          <w:szCs w:val="28"/>
        </w:rPr>
        <w:t>- главой сельс</w:t>
      </w:r>
      <w:r w:rsidR="00C072A5" w:rsidRPr="000A2116">
        <w:rPr>
          <w:sz w:val="28"/>
          <w:szCs w:val="28"/>
        </w:rPr>
        <w:t xml:space="preserve">кого поселения </w:t>
      </w:r>
      <w:proofErr w:type="spellStart"/>
      <w:r w:rsidR="00C072A5" w:rsidRPr="000A2116">
        <w:rPr>
          <w:sz w:val="28"/>
          <w:szCs w:val="28"/>
        </w:rPr>
        <w:t>Отрадненское</w:t>
      </w:r>
      <w:proofErr w:type="spellEnd"/>
      <w:r w:rsidR="00C072A5" w:rsidRPr="000A2116">
        <w:rPr>
          <w:sz w:val="28"/>
          <w:szCs w:val="28"/>
        </w:rPr>
        <w:t xml:space="preserve"> –</w:t>
      </w:r>
      <w:r w:rsidR="00DB428C">
        <w:rPr>
          <w:sz w:val="28"/>
          <w:szCs w:val="28"/>
        </w:rPr>
        <w:t>60</w:t>
      </w:r>
      <w:r w:rsidR="00EB089C" w:rsidRPr="000A2116">
        <w:rPr>
          <w:sz w:val="28"/>
          <w:szCs w:val="28"/>
        </w:rPr>
        <w:t xml:space="preserve"> (</w:t>
      </w:r>
      <w:r w:rsidR="00DB428C">
        <w:rPr>
          <w:sz w:val="28"/>
          <w:szCs w:val="28"/>
        </w:rPr>
        <w:t>71</w:t>
      </w:r>
      <w:r w:rsidR="007F56E0">
        <w:rPr>
          <w:sz w:val="28"/>
          <w:szCs w:val="28"/>
        </w:rPr>
        <w:t xml:space="preserve"> </w:t>
      </w:r>
      <w:r w:rsidR="001615E5" w:rsidRPr="000A2116">
        <w:rPr>
          <w:sz w:val="28"/>
          <w:szCs w:val="28"/>
        </w:rPr>
        <w:t xml:space="preserve"> в 20</w:t>
      </w:r>
      <w:r w:rsidR="009244D6" w:rsidRPr="000A2116">
        <w:rPr>
          <w:sz w:val="28"/>
          <w:szCs w:val="28"/>
        </w:rPr>
        <w:t>1</w:t>
      </w:r>
      <w:r w:rsidR="00DB428C">
        <w:rPr>
          <w:sz w:val="28"/>
          <w:szCs w:val="28"/>
        </w:rPr>
        <w:t>2</w:t>
      </w:r>
      <w:r w:rsidR="001615E5" w:rsidRPr="000A2116">
        <w:rPr>
          <w:sz w:val="28"/>
          <w:szCs w:val="28"/>
        </w:rPr>
        <w:t>г.</w:t>
      </w:r>
      <w:r w:rsidR="00EB089C" w:rsidRPr="000A2116">
        <w:rPr>
          <w:sz w:val="28"/>
          <w:szCs w:val="28"/>
        </w:rPr>
        <w:t>)</w:t>
      </w:r>
    </w:p>
    <w:p w:rsidR="005744C8" w:rsidRDefault="005744C8" w:rsidP="005744C8">
      <w:pPr>
        <w:rPr>
          <w:rFonts w:ascii="Arial CYR" w:hAnsi="Arial CYR" w:cs="Arial CYR"/>
          <w:sz w:val="20"/>
          <w:szCs w:val="20"/>
        </w:rPr>
      </w:pPr>
    </w:p>
    <w:p w:rsidR="005D77D9" w:rsidRDefault="00B51F60" w:rsidP="006343D7">
      <w:pPr>
        <w:rPr>
          <w:sz w:val="28"/>
        </w:rPr>
      </w:pPr>
      <w:r>
        <w:rPr>
          <w:noProof/>
        </w:rPr>
        <w:drawing>
          <wp:inline distT="0" distB="0" distL="0" distR="0">
            <wp:extent cx="5224145" cy="3574415"/>
            <wp:effectExtent l="0" t="0" r="14605" b="26035"/>
            <wp:docPr id="4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C6FFD" w:rsidRDefault="00784418" w:rsidP="002342A1">
      <w:pPr>
        <w:jc w:val="both"/>
      </w:pPr>
      <w:r>
        <w:t>диаграмма №</w:t>
      </w:r>
      <w:r w:rsidR="003A67E7">
        <w:t>6</w:t>
      </w:r>
    </w:p>
    <w:tbl>
      <w:tblPr>
        <w:tblW w:w="1092" w:type="dxa"/>
        <w:tblLook w:val="04A0" w:firstRow="1" w:lastRow="0" w:firstColumn="1" w:lastColumn="0" w:noHBand="0" w:noVBand="1"/>
      </w:tblPr>
      <w:tblGrid>
        <w:gridCol w:w="1092"/>
      </w:tblGrid>
      <w:tr w:rsidR="000E3A9B" w:rsidRPr="00C95926" w:rsidTr="000E3A9B">
        <w:trPr>
          <w:trHeight w:val="80"/>
        </w:trPr>
        <w:tc>
          <w:tcPr>
            <w:tcW w:w="1092" w:type="dxa"/>
          </w:tcPr>
          <w:p w:rsidR="000E3A9B" w:rsidRPr="00781AEE" w:rsidRDefault="000E3A9B" w:rsidP="0076565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C0E0D" w:rsidRDefault="00A65A1C" w:rsidP="005C0E0D">
      <w:pPr>
        <w:jc w:val="both"/>
        <w:rPr>
          <w:sz w:val="28"/>
          <w:szCs w:val="28"/>
        </w:rPr>
      </w:pPr>
      <w:r w:rsidRPr="005C0E0D">
        <w:rPr>
          <w:sz w:val="28"/>
          <w:szCs w:val="28"/>
        </w:rPr>
        <w:t xml:space="preserve">    </w:t>
      </w:r>
      <w:proofErr w:type="gramStart"/>
      <w:r w:rsidR="005C0E0D">
        <w:rPr>
          <w:rStyle w:val="2"/>
          <w:rFonts w:eastAsia="Arial Unicode MS"/>
          <w:sz w:val="28"/>
          <w:szCs w:val="28"/>
        </w:rPr>
        <w:t xml:space="preserve">Обращения граждан, поступающие в </w:t>
      </w:r>
      <w:r w:rsidR="005C0E0D">
        <w:rPr>
          <w:sz w:val="28"/>
          <w:szCs w:val="28"/>
        </w:rPr>
        <w:t>органы местного самоуправления Красногорского муниципального района</w:t>
      </w:r>
      <w:r w:rsidR="005C0E0D">
        <w:rPr>
          <w:rStyle w:val="2"/>
          <w:rFonts w:eastAsia="Arial Unicode MS"/>
          <w:sz w:val="28"/>
          <w:szCs w:val="28"/>
        </w:rPr>
        <w:t xml:space="preserve"> подлежат</w:t>
      </w:r>
      <w:proofErr w:type="gramEnd"/>
      <w:r w:rsidR="005C0E0D">
        <w:rPr>
          <w:rStyle w:val="2"/>
          <w:rFonts w:eastAsia="Arial Unicode MS"/>
          <w:sz w:val="28"/>
          <w:szCs w:val="28"/>
        </w:rPr>
        <w:t xml:space="preserve"> обязательной регистрации. Каждому обращению присваивается входящий номер, </w:t>
      </w:r>
      <w:r w:rsidR="005C0E0D">
        <w:rPr>
          <w:sz w:val="28"/>
          <w:szCs w:val="28"/>
        </w:rPr>
        <w:t xml:space="preserve">проставляется шифр темы согласно тематическому классификатору обращений граждан. Все поступающие в администрацию района обращения граждан передаются на рассмотрение руководству и ставятся на контроль. Ни одно обращение  не было оставлено без внимания. </w:t>
      </w:r>
      <w:proofErr w:type="gramStart"/>
      <w:r w:rsidR="005C0E0D">
        <w:rPr>
          <w:sz w:val="28"/>
          <w:szCs w:val="28"/>
        </w:rPr>
        <w:t xml:space="preserve">Постоянный контроль за исполнением поручений по обращениям, чёткое соблюдение должностными лицами установленного графиком порядка проведения всех мероприятий, ежемесячный анализ итогов работы по обращениям в тематическом, социальном, территориальном аспектах, изучение причин и условий, порождающих жалобы и повторные обращения граждан, позволяют добиться системности в организации работы, предотвращать случаи нарушения законодательства при рассмотрении обращений граждан. </w:t>
      </w:r>
      <w:proofErr w:type="gramEnd"/>
    </w:p>
    <w:p w:rsidR="005C0E0D" w:rsidRDefault="005C0E0D" w:rsidP="005C0E0D">
      <w:pPr>
        <w:jc w:val="both"/>
        <w:rPr>
          <w:sz w:val="28"/>
        </w:rPr>
      </w:pPr>
      <w:r>
        <w:rPr>
          <w:sz w:val="28"/>
        </w:rPr>
        <w:t xml:space="preserve">     Все обращения рассмотрены в установленные законодательством сроки.</w:t>
      </w:r>
    </w:p>
    <w:p w:rsidR="005C0E0D" w:rsidRPr="005C0E0D" w:rsidRDefault="005C0E0D" w:rsidP="005C0E0D">
      <w:pPr>
        <w:jc w:val="both"/>
        <w:rPr>
          <w:sz w:val="28"/>
          <w:szCs w:val="28"/>
        </w:rPr>
      </w:pPr>
      <w:r w:rsidRPr="005C0E0D">
        <w:rPr>
          <w:sz w:val="28"/>
          <w:szCs w:val="28"/>
        </w:rPr>
        <w:t xml:space="preserve">1237 обращений с вопросами, не входящими в компетенцию администрации района, отправлены по принадлежности в администрации городских и сельских </w:t>
      </w:r>
      <w:r w:rsidRPr="005C0E0D">
        <w:rPr>
          <w:color w:val="000000"/>
          <w:sz w:val="28"/>
          <w:szCs w:val="28"/>
        </w:rPr>
        <w:t>поселений.</w:t>
      </w:r>
      <w:r w:rsidRPr="005C0E0D">
        <w:rPr>
          <w:sz w:val="28"/>
          <w:szCs w:val="28"/>
        </w:rPr>
        <w:t xml:space="preserve"> </w:t>
      </w:r>
    </w:p>
    <w:p w:rsidR="005C0E0D" w:rsidRPr="005C0E0D" w:rsidRDefault="005C0E0D" w:rsidP="005C0E0D">
      <w:pPr>
        <w:jc w:val="both"/>
        <w:rPr>
          <w:sz w:val="28"/>
          <w:szCs w:val="28"/>
        </w:rPr>
      </w:pPr>
      <w:r w:rsidRPr="005C0E0D">
        <w:rPr>
          <w:sz w:val="28"/>
          <w:szCs w:val="28"/>
        </w:rPr>
        <w:t xml:space="preserve">Анализ тематики поступивших обращений граждан свидетельствует о том, что традиционно приоритетными в обращениях являются вопросы: </w:t>
      </w:r>
    </w:p>
    <w:p w:rsidR="005C0E0D" w:rsidRPr="005C0E0D" w:rsidRDefault="005C0E0D" w:rsidP="005C0E0D">
      <w:pPr>
        <w:jc w:val="both"/>
        <w:rPr>
          <w:sz w:val="28"/>
          <w:szCs w:val="28"/>
        </w:rPr>
      </w:pPr>
      <w:r w:rsidRPr="005C0E0D">
        <w:rPr>
          <w:sz w:val="28"/>
          <w:szCs w:val="28"/>
        </w:rPr>
        <w:lastRenderedPageBreak/>
        <w:t xml:space="preserve">-экологии и землепользования - 5938 обращений – 31,83%, </w:t>
      </w:r>
    </w:p>
    <w:p w:rsidR="005C0E0D" w:rsidRPr="005C0E0D" w:rsidRDefault="005C0E0D" w:rsidP="005C0E0D">
      <w:pPr>
        <w:jc w:val="both"/>
        <w:rPr>
          <w:sz w:val="28"/>
          <w:szCs w:val="28"/>
        </w:rPr>
      </w:pPr>
      <w:r w:rsidRPr="005C0E0D">
        <w:rPr>
          <w:sz w:val="28"/>
          <w:szCs w:val="28"/>
        </w:rPr>
        <w:t>-коммунального и дорожного хозяйства – 3634 обращений (увеличение на 945 обращений) -19,43%;</w:t>
      </w:r>
    </w:p>
    <w:p w:rsidR="005C0E0D" w:rsidRPr="005C0E0D" w:rsidRDefault="005C0E0D" w:rsidP="005C0E0D">
      <w:pPr>
        <w:jc w:val="both"/>
        <w:rPr>
          <w:sz w:val="28"/>
          <w:szCs w:val="28"/>
        </w:rPr>
      </w:pPr>
      <w:r w:rsidRPr="005C0E0D">
        <w:rPr>
          <w:sz w:val="28"/>
          <w:szCs w:val="28"/>
        </w:rPr>
        <w:t>-по вопросам строительства - 3624 обращений – 19,42%;</w:t>
      </w:r>
    </w:p>
    <w:p w:rsidR="005C0E0D" w:rsidRPr="005C0E0D" w:rsidRDefault="005C0E0D" w:rsidP="005C0E0D">
      <w:pPr>
        <w:jc w:val="both"/>
        <w:rPr>
          <w:sz w:val="28"/>
          <w:szCs w:val="28"/>
        </w:rPr>
      </w:pPr>
      <w:r w:rsidRPr="005C0E0D">
        <w:rPr>
          <w:sz w:val="28"/>
          <w:szCs w:val="28"/>
        </w:rPr>
        <w:t xml:space="preserve">-по жилищные вопросы - 2702 обращений – 14,48%                     </w:t>
      </w:r>
    </w:p>
    <w:p w:rsidR="005C0E0D" w:rsidRPr="005C0E0D" w:rsidRDefault="005C0E0D" w:rsidP="005C0E0D">
      <w:pPr>
        <w:jc w:val="both"/>
        <w:rPr>
          <w:sz w:val="28"/>
          <w:szCs w:val="28"/>
        </w:rPr>
      </w:pPr>
      <w:r w:rsidRPr="005C0E0D">
        <w:rPr>
          <w:sz w:val="28"/>
          <w:szCs w:val="28"/>
        </w:rPr>
        <w:t xml:space="preserve">Основное количество обращений по указанным вопросам относится к самому проблемному объекту – </w:t>
      </w:r>
      <w:proofErr w:type="spellStart"/>
      <w:r w:rsidRPr="005C0E0D">
        <w:rPr>
          <w:sz w:val="28"/>
          <w:szCs w:val="28"/>
        </w:rPr>
        <w:t>мкр</w:t>
      </w:r>
      <w:proofErr w:type="spellEnd"/>
      <w:r w:rsidRPr="005C0E0D">
        <w:rPr>
          <w:sz w:val="28"/>
          <w:szCs w:val="28"/>
        </w:rPr>
        <w:t xml:space="preserve">. </w:t>
      </w:r>
      <w:proofErr w:type="spellStart"/>
      <w:r w:rsidRPr="005C0E0D">
        <w:rPr>
          <w:sz w:val="28"/>
          <w:szCs w:val="28"/>
        </w:rPr>
        <w:t>Павшинская</w:t>
      </w:r>
      <w:proofErr w:type="spellEnd"/>
      <w:r w:rsidRPr="005C0E0D">
        <w:rPr>
          <w:sz w:val="28"/>
          <w:szCs w:val="28"/>
        </w:rPr>
        <w:t xml:space="preserve"> пойма г. Красногорска.</w:t>
      </w:r>
      <w:r w:rsidRPr="005C0E0D">
        <w:rPr>
          <w:i/>
          <w:sz w:val="28"/>
          <w:szCs w:val="28"/>
        </w:rPr>
        <w:t xml:space="preserve"> </w:t>
      </w:r>
      <w:r w:rsidRPr="005C0E0D">
        <w:rPr>
          <w:sz w:val="28"/>
          <w:szCs w:val="28"/>
        </w:rPr>
        <w:t xml:space="preserve">В качестве примера анализа тематики обращений можно привести значительное число обращений жителей </w:t>
      </w:r>
      <w:proofErr w:type="spellStart"/>
      <w:r w:rsidRPr="005C0E0D">
        <w:rPr>
          <w:sz w:val="28"/>
          <w:szCs w:val="28"/>
        </w:rPr>
        <w:t>мкр</w:t>
      </w:r>
      <w:proofErr w:type="spellEnd"/>
      <w:r w:rsidRPr="005C0E0D">
        <w:rPr>
          <w:sz w:val="28"/>
          <w:szCs w:val="28"/>
        </w:rPr>
        <w:t xml:space="preserve">. </w:t>
      </w:r>
      <w:proofErr w:type="spellStart"/>
      <w:r w:rsidRPr="005C0E0D">
        <w:rPr>
          <w:sz w:val="28"/>
          <w:szCs w:val="28"/>
        </w:rPr>
        <w:t>Павшино</w:t>
      </w:r>
      <w:proofErr w:type="spellEnd"/>
      <w:r w:rsidRPr="005C0E0D">
        <w:rPr>
          <w:sz w:val="28"/>
          <w:szCs w:val="28"/>
        </w:rPr>
        <w:t xml:space="preserve"> по вопросам благоустройства, санитарного содержания территории микрорайона, ремонта дорог, в  том числе внутриквартальных проездов и придомовых территорий – более 1000 обращений.</w:t>
      </w:r>
    </w:p>
    <w:p w:rsidR="005C0E0D" w:rsidRPr="005C0E0D" w:rsidRDefault="005C0E0D" w:rsidP="005C0E0D">
      <w:pPr>
        <w:jc w:val="both"/>
        <w:rPr>
          <w:sz w:val="28"/>
          <w:szCs w:val="28"/>
        </w:rPr>
      </w:pPr>
      <w:r w:rsidRPr="005C0E0D">
        <w:rPr>
          <w:sz w:val="28"/>
          <w:szCs w:val="28"/>
        </w:rPr>
        <w:t>Увеличилось количество обращений по вопросам транспорта и дорожного хозяйства – 506 обращений (общее увеличение на 390 обращений) - 2,71%. Большинство вопросов по данной тематике относилось к вопросам строительства транспортной развязки Ильинского и Волоколамского шоссе, проектам реорганизации дорожного движения.</w:t>
      </w:r>
    </w:p>
    <w:p w:rsidR="005C0E0D" w:rsidRPr="005C0E0D" w:rsidRDefault="005C0E0D" w:rsidP="005C0E0D">
      <w:pPr>
        <w:jc w:val="both"/>
        <w:rPr>
          <w:sz w:val="28"/>
          <w:szCs w:val="28"/>
        </w:rPr>
      </w:pPr>
      <w:r w:rsidRPr="005C0E0D">
        <w:rPr>
          <w:sz w:val="28"/>
          <w:szCs w:val="28"/>
        </w:rPr>
        <w:t xml:space="preserve">По социальным вопросам, таким как работа образовательных и медицинских учреждений, вопросы трудовых отношений, культуры и спорта, торговли и бытового обслуживания, в администрации обратилось 1654 человек,  что на 408 обращений больше, чем в предыдущем году. Увеличение  количества обращений произошло за счет вопросов, связанных с нехваткой мест в детские сады (606 обращения – 3,24%).  </w:t>
      </w:r>
    </w:p>
    <w:p w:rsidR="005C0E0D" w:rsidRPr="005C0E0D" w:rsidRDefault="005C0E0D" w:rsidP="005C0E0D">
      <w:pPr>
        <w:jc w:val="both"/>
        <w:rPr>
          <w:sz w:val="28"/>
          <w:szCs w:val="28"/>
        </w:rPr>
      </w:pPr>
      <w:r w:rsidRPr="005C0E0D">
        <w:rPr>
          <w:sz w:val="28"/>
          <w:szCs w:val="28"/>
        </w:rPr>
        <w:t>В связи с развитием информатизации общества, а также повышенным вниманием к работе с гражданами с использованием сети Интернет, наблюдается тенденция роста обращений, поступающих в органы местного самоуправления в электронной форме, в том числе увеличение числа граждан обращающихся к Президенту РФ по электронным системам.</w:t>
      </w:r>
    </w:p>
    <w:p w:rsidR="005C0E0D" w:rsidRPr="005C0E0D" w:rsidRDefault="005C0E0D" w:rsidP="005C0E0D">
      <w:pPr>
        <w:jc w:val="both"/>
        <w:rPr>
          <w:sz w:val="28"/>
          <w:szCs w:val="28"/>
        </w:rPr>
      </w:pPr>
      <w:r w:rsidRPr="005C0E0D">
        <w:rPr>
          <w:sz w:val="28"/>
          <w:szCs w:val="28"/>
        </w:rPr>
        <w:t>Увеличилось количество коллективных обращений, писем жителей района в администрацию Губернатора Московской области</w:t>
      </w:r>
      <w:proofErr w:type="gramStart"/>
      <w:r w:rsidRPr="005C0E0D">
        <w:rPr>
          <w:sz w:val="28"/>
          <w:szCs w:val="28"/>
        </w:rPr>
        <w:t xml:space="preserve"> С</w:t>
      </w:r>
      <w:proofErr w:type="gramEnd"/>
      <w:r w:rsidRPr="005C0E0D">
        <w:rPr>
          <w:sz w:val="28"/>
          <w:szCs w:val="28"/>
        </w:rPr>
        <w:t>уществует устойчивая категория граждан, обратившаяся сразу во все инстанции - начиная с главы местного самоуправления до Президента Российской Федерации.</w:t>
      </w:r>
    </w:p>
    <w:p w:rsidR="000E3A9B" w:rsidRDefault="000E3A9B" w:rsidP="000E3A9B">
      <w:pPr>
        <w:jc w:val="both"/>
        <w:rPr>
          <w:sz w:val="28"/>
          <w:szCs w:val="28"/>
        </w:rPr>
      </w:pPr>
      <w:r w:rsidRPr="000E3A9B">
        <w:rPr>
          <w:sz w:val="28"/>
          <w:szCs w:val="28"/>
        </w:rPr>
        <w:t xml:space="preserve">Проверено с выездом на место </w:t>
      </w:r>
      <w:r w:rsidR="005744C8">
        <w:rPr>
          <w:sz w:val="28"/>
          <w:szCs w:val="28"/>
        </w:rPr>
        <w:t>4776</w:t>
      </w:r>
      <w:r w:rsidRPr="000E3A9B">
        <w:rPr>
          <w:sz w:val="28"/>
          <w:szCs w:val="28"/>
        </w:rPr>
        <w:t xml:space="preserve"> обращени</w:t>
      </w:r>
      <w:r w:rsidR="005744C8">
        <w:rPr>
          <w:sz w:val="28"/>
          <w:szCs w:val="28"/>
        </w:rPr>
        <w:t>й</w:t>
      </w:r>
      <w:r w:rsidRPr="000E3A9B">
        <w:rPr>
          <w:sz w:val="28"/>
          <w:szCs w:val="28"/>
        </w:rPr>
        <w:t xml:space="preserve">, на </w:t>
      </w:r>
      <w:r w:rsidR="005744C8">
        <w:rPr>
          <w:sz w:val="28"/>
          <w:szCs w:val="28"/>
        </w:rPr>
        <w:t>343</w:t>
      </w:r>
      <w:r w:rsidRPr="000E3A9B">
        <w:rPr>
          <w:sz w:val="28"/>
          <w:szCs w:val="28"/>
        </w:rPr>
        <w:t xml:space="preserve"> больше чем в 201</w:t>
      </w:r>
      <w:r w:rsidR="005744C8">
        <w:rPr>
          <w:sz w:val="28"/>
          <w:szCs w:val="28"/>
        </w:rPr>
        <w:t>2</w:t>
      </w:r>
      <w:r w:rsidRPr="000E3A9B">
        <w:rPr>
          <w:sz w:val="28"/>
          <w:szCs w:val="28"/>
        </w:rPr>
        <w:t xml:space="preserve"> году.</w:t>
      </w:r>
    </w:p>
    <w:p w:rsidR="00F35DBD" w:rsidRPr="005C0E0D" w:rsidRDefault="00F35DBD" w:rsidP="005C0E0D">
      <w:pPr>
        <w:jc w:val="both"/>
        <w:rPr>
          <w:sz w:val="28"/>
          <w:szCs w:val="28"/>
        </w:rPr>
      </w:pPr>
    </w:p>
    <w:p w:rsidR="000E3A9B" w:rsidRDefault="00B51F60" w:rsidP="005C0E0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07025" cy="3362960"/>
            <wp:effectExtent l="0" t="0" r="22225" b="27940"/>
            <wp:docPr id="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C7A9B" w:rsidRDefault="00784418" w:rsidP="00C7362A">
      <w:pPr>
        <w:jc w:val="both"/>
      </w:pPr>
      <w:r>
        <w:t>диаграмма №</w:t>
      </w:r>
      <w:r w:rsidR="00597F8D">
        <w:t>7</w:t>
      </w:r>
    </w:p>
    <w:p w:rsidR="00C80CAA" w:rsidRDefault="00C80CAA" w:rsidP="00784418">
      <w:pPr>
        <w:ind w:firstLine="708"/>
        <w:jc w:val="both"/>
      </w:pPr>
    </w:p>
    <w:p w:rsidR="00781AEE" w:rsidRDefault="00B51F60" w:rsidP="00E90EC6">
      <w:pPr>
        <w:tabs>
          <w:tab w:val="left" w:pos="7020"/>
        </w:tabs>
        <w:jc w:val="center"/>
        <w:rPr>
          <w:b/>
          <w:i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5625465" cy="3614420"/>
            <wp:effectExtent l="0" t="0" r="13335" b="24130"/>
            <wp:docPr id="6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2261E" w:rsidRDefault="00E76B0C" w:rsidP="0072261E">
      <w:pPr>
        <w:jc w:val="both"/>
      </w:pPr>
      <w:r>
        <w:t xml:space="preserve">  </w:t>
      </w:r>
      <w:r w:rsidR="001A4976">
        <w:t xml:space="preserve"> диаграмма №</w:t>
      </w:r>
      <w:r>
        <w:t>8</w:t>
      </w:r>
    </w:p>
    <w:p w:rsidR="00E76B0C" w:rsidRDefault="00E76B0C" w:rsidP="0072261E">
      <w:pPr>
        <w:jc w:val="both"/>
      </w:pPr>
    </w:p>
    <w:p w:rsidR="00E76B0C" w:rsidRDefault="00B51F60" w:rsidP="0072261E">
      <w:pPr>
        <w:jc w:val="both"/>
      </w:pPr>
      <w:r>
        <w:rPr>
          <w:noProof/>
        </w:rPr>
        <w:lastRenderedPageBreak/>
        <w:drawing>
          <wp:inline distT="0" distB="0" distL="0" distR="0">
            <wp:extent cx="6086475" cy="5010150"/>
            <wp:effectExtent l="0" t="0" r="0" b="0"/>
            <wp:docPr id="7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76B0C" w:rsidRDefault="00C7362A" w:rsidP="0072261E">
      <w:pPr>
        <w:jc w:val="both"/>
      </w:pPr>
      <w:r>
        <w:t>диаграмма №9</w:t>
      </w:r>
    </w:p>
    <w:p w:rsidR="00E310D9" w:rsidRDefault="00E310D9" w:rsidP="0072261E">
      <w:pPr>
        <w:jc w:val="both"/>
      </w:pPr>
    </w:p>
    <w:p w:rsidR="005C0E0D" w:rsidRPr="005C0E0D" w:rsidRDefault="005C0E0D" w:rsidP="005C0E0D">
      <w:pPr>
        <w:ind w:firstLine="708"/>
        <w:jc w:val="both"/>
        <w:rPr>
          <w:sz w:val="28"/>
          <w:szCs w:val="28"/>
        </w:rPr>
      </w:pPr>
      <w:r w:rsidRPr="005C0E0D">
        <w:rPr>
          <w:sz w:val="28"/>
          <w:szCs w:val="28"/>
        </w:rPr>
        <w:t>Улучшение качества работы с обращениями граждан является одной из главных задач: принятие мер по недопущению фактов нарушения срока рассмотрения обращений, усиление требовательности к исполнителям и ответственность всех должностных лиц за соблюдением сроков рассмотрения обращений и подготовки  своевременных, объективных, всесторонних и обоснованных ответов.</w:t>
      </w:r>
    </w:p>
    <w:p w:rsidR="005C0E0D" w:rsidRPr="005C0E0D" w:rsidRDefault="005C0E0D" w:rsidP="005C0E0D">
      <w:pPr>
        <w:jc w:val="both"/>
        <w:rPr>
          <w:sz w:val="28"/>
          <w:szCs w:val="28"/>
        </w:rPr>
      </w:pPr>
      <w:r w:rsidRPr="005C0E0D">
        <w:rPr>
          <w:sz w:val="28"/>
          <w:szCs w:val="28"/>
        </w:rPr>
        <w:t xml:space="preserve">Основными целями совершенствования работы с обращениями заявителей является повышение  уровня удовлетворенности заявителей результатами рассмотрения их обращений и принятыми по ним мерам.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0E0D" w:rsidRDefault="005C0E0D" w:rsidP="0072261E">
      <w:pPr>
        <w:jc w:val="both"/>
      </w:pPr>
    </w:p>
    <w:sectPr w:rsidR="005C0E0D" w:rsidSect="00C7362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D76"/>
    <w:multiLevelType w:val="hybridMultilevel"/>
    <w:tmpl w:val="ABF43C58"/>
    <w:lvl w:ilvl="0" w:tplc="EFECE368">
      <w:numFmt w:val="bullet"/>
      <w:lvlText w:val="•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A08056B"/>
    <w:multiLevelType w:val="hybridMultilevel"/>
    <w:tmpl w:val="F6C69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8C78EA"/>
    <w:multiLevelType w:val="hybridMultilevel"/>
    <w:tmpl w:val="17B4AA5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14D02CF8"/>
    <w:multiLevelType w:val="hybridMultilevel"/>
    <w:tmpl w:val="B5FE7004"/>
    <w:lvl w:ilvl="0" w:tplc="9C027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936636"/>
    <w:multiLevelType w:val="hybridMultilevel"/>
    <w:tmpl w:val="D194B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A4B88"/>
    <w:multiLevelType w:val="hybridMultilevel"/>
    <w:tmpl w:val="DABAB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A2250"/>
    <w:multiLevelType w:val="hybridMultilevel"/>
    <w:tmpl w:val="0D9A16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CC07BCB"/>
    <w:multiLevelType w:val="hybridMultilevel"/>
    <w:tmpl w:val="3F061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87534B"/>
    <w:multiLevelType w:val="hybridMultilevel"/>
    <w:tmpl w:val="2CAAE8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6439AB"/>
    <w:multiLevelType w:val="hybridMultilevel"/>
    <w:tmpl w:val="09DE07F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77DE5AA7"/>
    <w:multiLevelType w:val="hybridMultilevel"/>
    <w:tmpl w:val="655A89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9"/>
  </w:num>
  <w:num w:numId="9">
    <w:abstractNumId w:val="0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7F"/>
    <w:rsid w:val="00005EE0"/>
    <w:rsid w:val="00011A0B"/>
    <w:rsid w:val="00021A05"/>
    <w:rsid w:val="00022139"/>
    <w:rsid w:val="00033ED0"/>
    <w:rsid w:val="00035F6F"/>
    <w:rsid w:val="00046F72"/>
    <w:rsid w:val="0005000B"/>
    <w:rsid w:val="000659A5"/>
    <w:rsid w:val="00065D21"/>
    <w:rsid w:val="000750A4"/>
    <w:rsid w:val="000756DA"/>
    <w:rsid w:val="0008526F"/>
    <w:rsid w:val="000978C3"/>
    <w:rsid w:val="000A1982"/>
    <w:rsid w:val="000A2116"/>
    <w:rsid w:val="000A6A17"/>
    <w:rsid w:val="000B0A2A"/>
    <w:rsid w:val="000B2720"/>
    <w:rsid w:val="000B4568"/>
    <w:rsid w:val="000B795E"/>
    <w:rsid w:val="000C2A33"/>
    <w:rsid w:val="000C6195"/>
    <w:rsid w:val="000D3AD5"/>
    <w:rsid w:val="000D4DA5"/>
    <w:rsid w:val="000E1C09"/>
    <w:rsid w:val="000E3A9B"/>
    <w:rsid w:val="000F19AC"/>
    <w:rsid w:val="000F2F5F"/>
    <w:rsid w:val="000F333C"/>
    <w:rsid w:val="000F373D"/>
    <w:rsid w:val="000F4BD0"/>
    <w:rsid w:val="000F6A2A"/>
    <w:rsid w:val="00100019"/>
    <w:rsid w:val="001041FC"/>
    <w:rsid w:val="00111DD9"/>
    <w:rsid w:val="00115644"/>
    <w:rsid w:val="00115684"/>
    <w:rsid w:val="00131B21"/>
    <w:rsid w:val="0013725A"/>
    <w:rsid w:val="0013738E"/>
    <w:rsid w:val="00144CE1"/>
    <w:rsid w:val="00146543"/>
    <w:rsid w:val="001502A7"/>
    <w:rsid w:val="00153A49"/>
    <w:rsid w:val="00160F3B"/>
    <w:rsid w:val="001615E5"/>
    <w:rsid w:val="001715A4"/>
    <w:rsid w:val="001741D4"/>
    <w:rsid w:val="001769A8"/>
    <w:rsid w:val="00177B20"/>
    <w:rsid w:val="0018785C"/>
    <w:rsid w:val="001909D6"/>
    <w:rsid w:val="001951C1"/>
    <w:rsid w:val="001A4976"/>
    <w:rsid w:val="001C16B5"/>
    <w:rsid w:val="001E0789"/>
    <w:rsid w:val="001E2C22"/>
    <w:rsid w:val="001E55DB"/>
    <w:rsid w:val="001E654B"/>
    <w:rsid w:val="001F051D"/>
    <w:rsid w:val="001F6EFC"/>
    <w:rsid w:val="00203F32"/>
    <w:rsid w:val="0020520E"/>
    <w:rsid w:val="002078B5"/>
    <w:rsid w:val="00211E17"/>
    <w:rsid w:val="002202DC"/>
    <w:rsid w:val="002222A4"/>
    <w:rsid w:val="00224719"/>
    <w:rsid w:val="002265F7"/>
    <w:rsid w:val="002342A1"/>
    <w:rsid w:val="00241467"/>
    <w:rsid w:val="002419E0"/>
    <w:rsid w:val="00253470"/>
    <w:rsid w:val="0025504F"/>
    <w:rsid w:val="002568D1"/>
    <w:rsid w:val="00256CC5"/>
    <w:rsid w:val="00257170"/>
    <w:rsid w:val="002619FE"/>
    <w:rsid w:val="00262E07"/>
    <w:rsid w:val="00271957"/>
    <w:rsid w:val="00271BAD"/>
    <w:rsid w:val="002765C2"/>
    <w:rsid w:val="0028736E"/>
    <w:rsid w:val="002938EB"/>
    <w:rsid w:val="00294414"/>
    <w:rsid w:val="002A799C"/>
    <w:rsid w:val="002B3512"/>
    <w:rsid w:val="002C379A"/>
    <w:rsid w:val="002C577E"/>
    <w:rsid w:val="002C6FFD"/>
    <w:rsid w:val="002D256E"/>
    <w:rsid w:val="002D5376"/>
    <w:rsid w:val="002E2713"/>
    <w:rsid w:val="002E3E08"/>
    <w:rsid w:val="002E48C5"/>
    <w:rsid w:val="002F1BC8"/>
    <w:rsid w:val="002F51C3"/>
    <w:rsid w:val="002F7558"/>
    <w:rsid w:val="0030419E"/>
    <w:rsid w:val="003072A5"/>
    <w:rsid w:val="003101B9"/>
    <w:rsid w:val="00317AC2"/>
    <w:rsid w:val="0032306D"/>
    <w:rsid w:val="00323255"/>
    <w:rsid w:val="00324610"/>
    <w:rsid w:val="003335C2"/>
    <w:rsid w:val="00335797"/>
    <w:rsid w:val="0034626C"/>
    <w:rsid w:val="00346AB6"/>
    <w:rsid w:val="00347804"/>
    <w:rsid w:val="0035312B"/>
    <w:rsid w:val="003616B6"/>
    <w:rsid w:val="00361D25"/>
    <w:rsid w:val="003632F4"/>
    <w:rsid w:val="00363380"/>
    <w:rsid w:val="00365526"/>
    <w:rsid w:val="00365B90"/>
    <w:rsid w:val="00367ED9"/>
    <w:rsid w:val="00374006"/>
    <w:rsid w:val="00376EFE"/>
    <w:rsid w:val="0037714A"/>
    <w:rsid w:val="00380ACE"/>
    <w:rsid w:val="00380F74"/>
    <w:rsid w:val="003A31AD"/>
    <w:rsid w:val="003A67E7"/>
    <w:rsid w:val="003A6D38"/>
    <w:rsid w:val="003B3EF2"/>
    <w:rsid w:val="003B416F"/>
    <w:rsid w:val="003B51D2"/>
    <w:rsid w:val="003B75CC"/>
    <w:rsid w:val="003E5195"/>
    <w:rsid w:val="003E5333"/>
    <w:rsid w:val="003E6299"/>
    <w:rsid w:val="003F3630"/>
    <w:rsid w:val="00401CE4"/>
    <w:rsid w:val="00410AFE"/>
    <w:rsid w:val="004162A1"/>
    <w:rsid w:val="00417918"/>
    <w:rsid w:val="00422698"/>
    <w:rsid w:val="0042495A"/>
    <w:rsid w:val="00430784"/>
    <w:rsid w:val="004349CE"/>
    <w:rsid w:val="0043629E"/>
    <w:rsid w:val="004476C1"/>
    <w:rsid w:val="00450E0D"/>
    <w:rsid w:val="004643BC"/>
    <w:rsid w:val="004646F6"/>
    <w:rsid w:val="0047207D"/>
    <w:rsid w:val="004837A4"/>
    <w:rsid w:val="004914B7"/>
    <w:rsid w:val="004A0819"/>
    <w:rsid w:val="004A267F"/>
    <w:rsid w:val="004A5FB5"/>
    <w:rsid w:val="004B443D"/>
    <w:rsid w:val="004C0FCF"/>
    <w:rsid w:val="004C1BCD"/>
    <w:rsid w:val="004C2EA4"/>
    <w:rsid w:val="004D1D9B"/>
    <w:rsid w:val="004D6FE6"/>
    <w:rsid w:val="004E0DB6"/>
    <w:rsid w:val="004E12EB"/>
    <w:rsid w:val="004E58CD"/>
    <w:rsid w:val="004E7E1F"/>
    <w:rsid w:val="004F2284"/>
    <w:rsid w:val="004F5733"/>
    <w:rsid w:val="004F5FA8"/>
    <w:rsid w:val="00500D89"/>
    <w:rsid w:val="00503373"/>
    <w:rsid w:val="005048A6"/>
    <w:rsid w:val="005111F3"/>
    <w:rsid w:val="00517FDE"/>
    <w:rsid w:val="00524A3C"/>
    <w:rsid w:val="00524B16"/>
    <w:rsid w:val="005263DC"/>
    <w:rsid w:val="00527FF8"/>
    <w:rsid w:val="00530CA0"/>
    <w:rsid w:val="0053391B"/>
    <w:rsid w:val="00533E32"/>
    <w:rsid w:val="00540098"/>
    <w:rsid w:val="00540715"/>
    <w:rsid w:val="0054681C"/>
    <w:rsid w:val="00554C21"/>
    <w:rsid w:val="005564DD"/>
    <w:rsid w:val="00556F3B"/>
    <w:rsid w:val="00562078"/>
    <w:rsid w:val="0057051C"/>
    <w:rsid w:val="005708CB"/>
    <w:rsid w:val="005739FC"/>
    <w:rsid w:val="005744C8"/>
    <w:rsid w:val="00575A7B"/>
    <w:rsid w:val="00577999"/>
    <w:rsid w:val="00580748"/>
    <w:rsid w:val="0058673E"/>
    <w:rsid w:val="00597F8D"/>
    <w:rsid w:val="005A36A6"/>
    <w:rsid w:val="005A5C72"/>
    <w:rsid w:val="005A5EB8"/>
    <w:rsid w:val="005A6966"/>
    <w:rsid w:val="005B19A1"/>
    <w:rsid w:val="005B319D"/>
    <w:rsid w:val="005B4302"/>
    <w:rsid w:val="005B63CA"/>
    <w:rsid w:val="005B6C31"/>
    <w:rsid w:val="005C0E0D"/>
    <w:rsid w:val="005C166F"/>
    <w:rsid w:val="005C3170"/>
    <w:rsid w:val="005C582E"/>
    <w:rsid w:val="005C75AF"/>
    <w:rsid w:val="005D4114"/>
    <w:rsid w:val="005D5EAC"/>
    <w:rsid w:val="005D77D9"/>
    <w:rsid w:val="005E0C47"/>
    <w:rsid w:val="005E2076"/>
    <w:rsid w:val="005F43E6"/>
    <w:rsid w:val="005F44D5"/>
    <w:rsid w:val="005F7350"/>
    <w:rsid w:val="00606C2B"/>
    <w:rsid w:val="00615703"/>
    <w:rsid w:val="006243DC"/>
    <w:rsid w:val="00624723"/>
    <w:rsid w:val="00630232"/>
    <w:rsid w:val="00630EC7"/>
    <w:rsid w:val="006343D7"/>
    <w:rsid w:val="006369EC"/>
    <w:rsid w:val="00636F28"/>
    <w:rsid w:val="00640AC9"/>
    <w:rsid w:val="00640D61"/>
    <w:rsid w:val="00646251"/>
    <w:rsid w:val="0064647D"/>
    <w:rsid w:val="0065133D"/>
    <w:rsid w:val="00651D99"/>
    <w:rsid w:val="00654AE3"/>
    <w:rsid w:val="00657C7F"/>
    <w:rsid w:val="00663E8C"/>
    <w:rsid w:val="006657D9"/>
    <w:rsid w:val="0066683F"/>
    <w:rsid w:val="00677DBE"/>
    <w:rsid w:val="006844DD"/>
    <w:rsid w:val="00690AEE"/>
    <w:rsid w:val="00697AD3"/>
    <w:rsid w:val="00697CC0"/>
    <w:rsid w:val="006A6206"/>
    <w:rsid w:val="006B30C0"/>
    <w:rsid w:val="006B34A3"/>
    <w:rsid w:val="006B7C1D"/>
    <w:rsid w:val="006C767D"/>
    <w:rsid w:val="006D4123"/>
    <w:rsid w:val="006D62F4"/>
    <w:rsid w:val="006D7A25"/>
    <w:rsid w:val="006E4131"/>
    <w:rsid w:val="006E4BE9"/>
    <w:rsid w:val="006E6A74"/>
    <w:rsid w:val="006E778B"/>
    <w:rsid w:val="007027F3"/>
    <w:rsid w:val="00707AAA"/>
    <w:rsid w:val="00714D76"/>
    <w:rsid w:val="007221A6"/>
    <w:rsid w:val="0072261E"/>
    <w:rsid w:val="007236E8"/>
    <w:rsid w:val="007268B7"/>
    <w:rsid w:val="00731224"/>
    <w:rsid w:val="00732B84"/>
    <w:rsid w:val="00732BC7"/>
    <w:rsid w:val="00734FE8"/>
    <w:rsid w:val="00753743"/>
    <w:rsid w:val="007604B0"/>
    <w:rsid w:val="00761144"/>
    <w:rsid w:val="00765650"/>
    <w:rsid w:val="00767FAA"/>
    <w:rsid w:val="007750BC"/>
    <w:rsid w:val="00781AEE"/>
    <w:rsid w:val="00783CEC"/>
    <w:rsid w:val="00784418"/>
    <w:rsid w:val="00793690"/>
    <w:rsid w:val="00797F0E"/>
    <w:rsid w:val="007A0444"/>
    <w:rsid w:val="007A2476"/>
    <w:rsid w:val="007B1C1C"/>
    <w:rsid w:val="007C27AE"/>
    <w:rsid w:val="007D2C0E"/>
    <w:rsid w:val="007E24F2"/>
    <w:rsid w:val="007F56E0"/>
    <w:rsid w:val="00800453"/>
    <w:rsid w:val="00800F50"/>
    <w:rsid w:val="008012C2"/>
    <w:rsid w:val="0081042F"/>
    <w:rsid w:val="00813A17"/>
    <w:rsid w:val="0082228E"/>
    <w:rsid w:val="00824F8B"/>
    <w:rsid w:val="008268A4"/>
    <w:rsid w:val="00840562"/>
    <w:rsid w:val="00842A2B"/>
    <w:rsid w:val="0085114F"/>
    <w:rsid w:val="00853D1A"/>
    <w:rsid w:val="00860038"/>
    <w:rsid w:val="00862BB7"/>
    <w:rsid w:val="00862D3F"/>
    <w:rsid w:val="00862EDB"/>
    <w:rsid w:val="00866360"/>
    <w:rsid w:val="008669E1"/>
    <w:rsid w:val="008677EE"/>
    <w:rsid w:val="008679FD"/>
    <w:rsid w:val="008722C4"/>
    <w:rsid w:val="00880319"/>
    <w:rsid w:val="00881D63"/>
    <w:rsid w:val="00885AE4"/>
    <w:rsid w:val="008B2C03"/>
    <w:rsid w:val="008B71FD"/>
    <w:rsid w:val="008C3E71"/>
    <w:rsid w:val="008C61DB"/>
    <w:rsid w:val="008D0539"/>
    <w:rsid w:val="008F0A47"/>
    <w:rsid w:val="00903E4D"/>
    <w:rsid w:val="0090535A"/>
    <w:rsid w:val="0090687D"/>
    <w:rsid w:val="009104D8"/>
    <w:rsid w:val="009244D6"/>
    <w:rsid w:val="009343C6"/>
    <w:rsid w:val="009448C4"/>
    <w:rsid w:val="0095548B"/>
    <w:rsid w:val="0096000F"/>
    <w:rsid w:val="00970D58"/>
    <w:rsid w:val="009729A9"/>
    <w:rsid w:val="00975A1B"/>
    <w:rsid w:val="0097619E"/>
    <w:rsid w:val="00977454"/>
    <w:rsid w:val="0098295B"/>
    <w:rsid w:val="00985833"/>
    <w:rsid w:val="00986073"/>
    <w:rsid w:val="00986A02"/>
    <w:rsid w:val="00987A6D"/>
    <w:rsid w:val="00990500"/>
    <w:rsid w:val="00990F18"/>
    <w:rsid w:val="0099591D"/>
    <w:rsid w:val="00997920"/>
    <w:rsid w:val="00997E46"/>
    <w:rsid w:val="009A3930"/>
    <w:rsid w:val="009A3B94"/>
    <w:rsid w:val="009A417C"/>
    <w:rsid w:val="009A6FE6"/>
    <w:rsid w:val="009B1AA7"/>
    <w:rsid w:val="009C124D"/>
    <w:rsid w:val="009C2B1B"/>
    <w:rsid w:val="009C460A"/>
    <w:rsid w:val="009D2DAD"/>
    <w:rsid w:val="009D743C"/>
    <w:rsid w:val="009F45F0"/>
    <w:rsid w:val="009F603E"/>
    <w:rsid w:val="00A00598"/>
    <w:rsid w:val="00A00DE6"/>
    <w:rsid w:val="00A140E5"/>
    <w:rsid w:val="00A15AB9"/>
    <w:rsid w:val="00A17CC8"/>
    <w:rsid w:val="00A20A88"/>
    <w:rsid w:val="00A34310"/>
    <w:rsid w:val="00A3436B"/>
    <w:rsid w:val="00A3573F"/>
    <w:rsid w:val="00A41170"/>
    <w:rsid w:val="00A42C47"/>
    <w:rsid w:val="00A42E8C"/>
    <w:rsid w:val="00A61053"/>
    <w:rsid w:val="00A65A1C"/>
    <w:rsid w:val="00A73976"/>
    <w:rsid w:val="00A73B9C"/>
    <w:rsid w:val="00A77492"/>
    <w:rsid w:val="00A8500B"/>
    <w:rsid w:val="00A8783A"/>
    <w:rsid w:val="00A90C4D"/>
    <w:rsid w:val="00A9183E"/>
    <w:rsid w:val="00A97637"/>
    <w:rsid w:val="00AA16F6"/>
    <w:rsid w:val="00AA212A"/>
    <w:rsid w:val="00AA5128"/>
    <w:rsid w:val="00AB0315"/>
    <w:rsid w:val="00AB74F9"/>
    <w:rsid w:val="00AB7FE9"/>
    <w:rsid w:val="00AC5363"/>
    <w:rsid w:val="00AC62BB"/>
    <w:rsid w:val="00AC6537"/>
    <w:rsid w:val="00AC7A9B"/>
    <w:rsid w:val="00AD3F93"/>
    <w:rsid w:val="00AD5E92"/>
    <w:rsid w:val="00AD6167"/>
    <w:rsid w:val="00AE3319"/>
    <w:rsid w:val="00AE4948"/>
    <w:rsid w:val="00AE4FE2"/>
    <w:rsid w:val="00AE63AE"/>
    <w:rsid w:val="00AE77DE"/>
    <w:rsid w:val="00AF1445"/>
    <w:rsid w:val="00AF31AC"/>
    <w:rsid w:val="00B01B5C"/>
    <w:rsid w:val="00B04DA9"/>
    <w:rsid w:val="00B04F19"/>
    <w:rsid w:val="00B0750F"/>
    <w:rsid w:val="00B10630"/>
    <w:rsid w:val="00B1503D"/>
    <w:rsid w:val="00B15470"/>
    <w:rsid w:val="00B212E0"/>
    <w:rsid w:val="00B22B43"/>
    <w:rsid w:val="00B24308"/>
    <w:rsid w:val="00B41769"/>
    <w:rsid w:val="00B468C6"/>
    <w:rsid w:val="00B506E7"/>
    <w:rsid w:val="00B51F60"/>
    <w:rsid w:val="00B52AB5"/>
    <w:rsid w:val="00B72105"/>
    <w:rsid w:val="00B7344D"/>
    <w:rsid w:val="00B7785D"/>
    <w:rsid w:val="00B847E6"/>
    <w:rsid w:val="00B865A1"/>
    <w:rsid w:val="00B950AE"/>
    <w:rsid w:val="00B9590C"/>
    <w:rsid w:val="00BA689A"/>
    <w:rsid w:val="00BB423B"/>
    <w:rsid w:val="00BB466A"/>
    <w:rsid w:val="00BC3C37"/>
    <w:rsid w:val="00BD31A7"/>
    <w:rsid w:val="00BD337D"/>
    <w:rsid w:val="00BD5CB4"/>
    <w:rsid w:val="00BE0584"/>
    <w:rsid w:val="00BE0C3C"/>
    <w:rsid w:val="00BE16D4"/>
    <w:rsid w:val="00BE38EF"/>
    <w:rsid w:val="00BE6B33"/>
    <w:rsid w:val="00BF3120"/>
    <w:rsid w:val="00C072A5"/>
    <w:rsid w:val="00C108DA"/>
    <w:rsid w:val="00C11032"/>
    <w:rsid w:val="00C14FDF"/>
    <w:rsid w:val="00C167F6"/>
    <w:rsid w:val="00C2224C"/>
    <w:rsid w:val="00C254C3"/>
    <w:rsid w:val="00C30C66"/>
    <w:rsid w:val="00C347C7"/>
    <w:rsid w:val="00C376CA"/>
    <w:rsid w:val="00C40B68"/>
    <w:rsid w:val="00C40D29"/>
    <w:rsid w:val="00C41648"/>
    <w:rsid w:val="00C43E83"/>
    <w:rsid w:val="00C521E1"/>
    <w:rsid w:val="00C53199"/>
    <w:rsid w:val="00C5701C"/>
    <w:rsid w:val="00C61170"/>
    <w:rsid w:val="00C7362A"/>
    <w:rsid w:val="00C80CAA"/>
    <w:rsid w:val="00C81079"/>
    <w:rsid w:val="00C8243D"/>
    <w:rsid w:val="00C858AB"/>
    <w:rsid w:val="00C87962"/>
    <w:rsid w:val="00C92727"/>
    <w:rsid w:val="00C938A0"/>
    <w:rsid w:val="00C93908"/>
    <w:rsid w:val="00C95926"/>
    <w:rsid w:val="00C969EE"/>
    <w:rsid w:val="00CA3401"/>
    <w:rsid w:val="00CA34D0"/>
    <w:rsid w:val="00CB1996"/>
    <w:rsid w:val="00CC010A"/>
    <w:rsid w:val="00CC2BF3"/>
    <w:rsid w:val="00CC766E"/>
    <w:rsid w:val="00CD1E22"/>
    <w:rsid w:val="00CE47DB"/>
    <w:rsid w:val="00CE7285"/>
    <w:rsid w:val="00CF19C7"/>
    <w:rsid w:val="00CF57E3"/>
    <w:rsid w:val="00CF75FB"/>
    <w:rsid w:val="00D02DC8"/>
    <w:rsid w:val="00D06DA7"/>
    <w:rsid w:val="00D07BBA"/>
    <w:rsid w:val="00D12603"/>
    <w:rsid w:val="00D1690F"/>
    <w:rsid w:val="00D2036C"/>
    <w:rsid w:val="00D267CF"/>
    <w:rsid w:val="00D3036E"/>
    <w:rsid w:val="00D30822"/>
    <w:rsid w:val="00D37467"/>
    <w:rsid w:val="00D40405"/>
    <w:rsid w:val="00D4199D"/>
    <w:rsid w:val="00D50E30"/>
    <w:rsid w:val="00D518AE"/>
    <w:rsid w:val="00D523A3"/>
    <w:rsid w:val="00D60CD7"/>
    <w:rsid w:val="00D63271"/>
    <w:rsid w:val="00D70C2B"/>
    <w:rsid w:val="00D76218"/>
    <w:rsid w:val="00D77513"/>
    <w:rsid w:val="00D82C13"/>
    <w:rsid w:val="00D95049"/>
    <w:rsid w:val="00D97B76"/>
    <w:rsid w:val="00DA28E2"/>
    <w:rsid w:val="00DA5095"/>
    <w:rsid w:val="00DA5406"/>
    <w:rsid w:val="00DA7C06"/>
    <w:rsid w:val="00DB31BA"/>
    <w:rsid w:val="00DB3467"/>
    <w:rsid w:val="00DB428C"/>
    <w:rsid w:val="00DB7482"/>
    <w:rsid w:val="00DD25CC"/>
    <w:rsid w:val="00DE68C8"/>
    <w:rsid w:val="00DF3A7D"/>
    <w:rsid w:val="00DF5761"/>
    <w:rsid w:val="00DF7C83"/>
    <w:rsid w:val="00E0222F"/>
    <w:rsid w:val="00E03DEB"/>
    <w:rsid w:val="00E05574"/>
    <w:rsid w:val="00E149AA"/>
    <w:rsid w:val="00E14CC1"/>
    <w:rsid w:val="00E16CB7"/>
    <w:rsid w:val="00E17F6A"/>
    <w:rsid w:val="00E205DE"/>
    <w:rsid w:val="00E21F5B"/>
    <w:rsid w:val="00E310D9"/>
    <w:rsid w:val="00E32402"/>
    <w:rsid w:val="00E3261E"/>
    <w:rsid w:val="00E41840"/>
    <w:rsid w:val="00E44CB4"/>
    <w:rsid w:val="00E46630"/>
    <w:rsid w:val="00E6379E"/>
    <w:rsid w:val="00E65705"/>
    <w:rsid w:val="00E67217"/>
    <w:rsid w:val="00E6798E"/>
    <w:rsid w:val="00E73424"/>
    <w:rsid w:val="00E74ADB"/>
    <w:rsid w:val="00E76B0C"/>
    <w:rsid w:val="00E90EC6"/>
    <w:rsid w:val="00E91816"/>
    <w:rsid w:val="00E9552C"/>
    <w:rsid w:val="00EA6D00"/>
    <w:rsid w:val="00EB089C"/>
    <w:rsid w:val="00EB2879"/>
    <w:rsid w:val="00EB6C9E"/>
    <w:rsid w:val="00EB6DC2"/>
    <w:rsid w:val="00EC2CD4"/>
    <w:rsid w:val="00EC44F5"/>
    <w:rsid w:val="00ED0CF6"/>
    <w:rsid w:val="00ED6A02"/>
    <w:rsid w:val="00EE0005"/>
    <w:rsid w:val="00EE22C5"/>
    <w:rsid w:val="00EE5089"/>
    <w:rsid w:val="00EE602A"/>
    <w:rsid w:val="00EF6E4C"/>
    <w:rsid w:val="00F004B5"/>
    <w:rsid w:val="00F07D04"/>
    <w:rsid w:val="00F238E5"/>
    <w:rsid w:val="00F2423F"/>
    <w:rsid w:val="00F2580F"/>
    <w:rsid w:val="00F26F0F"/>
    <w:rsid w:val="00F330C6"/>
    <w:rsid w:val="00F35622"/>
    <w:rsid w:val="00F35DBD"/>
    <w:rsid w:val="00F40572"/>
    <w:rsid w:val="00F44236"/>
    <w:rsid w:val="00F448D8"/>
    <w:rsid w:val="00F4584C"/>
    <w:rsid w:val="00F45F41"/>
    <w:rsid w:val="00F5495F"/>
    <w:rsid w:val="00F700A5"/>
    <w:rsid w:val="00F7138B"/>
    <w:rsid w:val="00F74D54"/>
    <w:rsid w:val="00F80E67"/>
    <w:rsid w:val="00F81997"/>
    <w:rsid w:val="00F82CDA"/>
    <w:rsid w:val="00F8344B"/>
    <w:rsid w:val="00F83853"/>
    <w:rsid w:val="00F877BF"/>
    <w:rsid w:val="00F9117E"/>
    <w:rsid w:val="00F95AC6"/>
    <w:rsid w:val="00F97776"/>
    <w:rsid w:val="00FA270A"/>
    <w:rsid w:val="00FA7B5B"/>
    <w:rsid w:val="00FB1E3E"/>
    <w:rsid w:val="00FB3AF1"/>
    <w:rsid w:val="00FC0A3F"/>
    <w:rsid w:val="00FC4F3F"/>
    <w:rsid w:val="00FC6858"/>
    <w:rsid w:val="00FD5288"/>
    <w:rsid w:val="00FD7E22"/>
    <w:rsid w:val="00FF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F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4D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14D76"/>
    <w:rPr>
      <w:rFonts w:ascii="Tahoma" w:hAnsi="Tahoma" w:cs="Tahoma"/>
      <w:sz w:val="16"/>
      <w:szCs w:val="16"/>
    </w:rPr>
  </w:style>
  <w:style w:type="paragraph" w:customStyle="1" w:styleId="5">
    <w:name w:val="Основной текст5"/>
    <w:basedOn w:val="a"/>
    <w:rsid w:val="00F35622"/>
    <w:pPr>
      <w:shd w:val="clear" w:color="auto" w:fill="FFFFFF"/>
      <w:spacing w:before="600" w:line="326" w:lineRule="exact"/>
      <w:ind w:hanging="280"/>
      <w:jc w:val="both"/>
    </w:pPr>
    <w:rPr>
      <w:color w:val="000000"/>
      <w:sz w:val="25"/>
      <w:szCs w:val="25"/>
    </w:rPr>
  </w:style>
  <w:style w:type="character" w:customStyle="1" w:styleId="1">
    <w:name w:val="Основной текст1"/>
    <w:rsid w:val="00F3562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paragraph" w:styleId="a6">
    <w:name w:val="No Spacing"/>
    <w:qFormat/>
    <w:rsid w:val="000A2116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2">
    <w:name w:val="Основной текст2"/>
    <w:rsid w:val="000A211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paragraph" w:styleId="a7">
    <w:name w:val="Body Text"/>
    <w:basedOn w:val="a"/>
    <w:link w:val="a8"/>
    <w:rsid w:val="001F051D"/>
    <w:pPr>
      <w:jc w:val="both"/>
    </w:pPr>
    <w:rPr>
      <w:sz w:val="28"/>
      <w:szCs w:val="20"/>
    </w:rPr>
  </w:style>
  <w:style w:type="character" w:customStyle="1" w:styleId="a8">
    <w:name w:val="Основной текст Знак"/>
    <w:link w:val="a7"/>
    <w:rsid w:val="001F051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F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4D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14D76"/>
    <w:rPr>
      <w:rFonts w:ascii="Tahoma" w:hAnsi="Tahoma" w:cs="Tahoma"/>
      <w:sz w:val="16"/>
      <w:szCs w:val="16"/>
    </w:rPr>
  </w:style>
  <w:style w:type="paragraph" w:customStyle="1" w:styleId="5">
    <w:name w:val="Основной текст5"/>
    <w:basedOn w:val="a"/>
    <w:rsid w:val="00F35622"/>
    <w:pPr>
      <w:shd w:val="clear" w:color="auto" w:fill="FFFFFF"/>
      <w:spacing w:before="600" w:line="326" w:lineRule="exact"/>
      <w:ind w:hanging="280"/>
      <w:jc w:val="both"/>
    </w:pPr>
    <w:rPr>
      <w:color w:val="000000"/>
      <w:sz w:val="25"/>
      <w:szCs w:val="25"/>
    </w:rPr>
  </w:style>
  <w:style w:type="character" w:customStyle="1" w:styleId="1">
    <w:name w:val="Основной текст1"/>
    <w:rsid w:val="00F3562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paragraph" w:styleId="a6">
    <w:name w:val="No Spacing"/>
    <w:qFormat/>
    <w:rsid w:val="000A2116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2">
    <w:name w:val="Основной текст2"/>
    <w:rsid w:val="000A211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paragraph" w:styleId="a7">
    <w:name w:val="Body Text"/>
    <w:basedOn w:val="a"/>
    <w:link w:val="a8"/>
    <w:rsid w:val="001F051D"/>
    <w:pPr>
      <w:jc w:val="both"/>
    </w:pPr>
    <w:rPr>
      <w:sz w:val="28"/>
      <w:szCs w:val="20"/>
    </w:rPr>
  </w:style>
  <w:style w:type="character" w:customStyle="1" w:styleId="a8">
    <w:name w:val="Основной текст Знак"/>
    <w:link w:val="a7"/>
    <w:rsid w:val="001F051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D:\Documents\&#1086;&#1090;&#1095;&#1077;&#1090;&#1099;%20&#1086;&#1073;&#1097;&#1077;&#1077;\&#1086;&#1090;&#1095;&#1077;&#1090;%202013%20&#1075;&#1086;&#1076;\&#1086;&#1090;&#1095;&#1077;&#1090;%202013%20&#1075;&#1086;&#1076;\&#1088;&#1072;&#1073;&#1086;&#1090;&#1072;%202013\&#1048;&#1085;&#1092;&#1086;&#1088;&#1084;&#1072;&#1094;&#1080;&#1103;%20&#1085;&#1072;%20&#1082;&#1086;&#1083;&#1083;&#1077;&#1075;&#1080;&#1102;.2012\&#1054;&#1090;&#1095;&#1077;&#1090;&#1085;&#1086;&#1089;&#1090;&#1100;2012\&#1076;&#1080;&#1072;&#1075;&#1088;&#1072;&#1084;&#1084;&#1072;%20%20&#1080;&#1090;&#1086;&#1075;%202013.xls" TargetMode="External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D:\Documents\&#1086;&#1090;&#1095;&#1077;&#1090;&#1099;%20&#1086;&#1073;&#1097;&#1077;&#1077;\&#1086;&#1090;&#1095;&#1077;&#1090;%202013%20&#1075;&#1086;&#1076;\&#1086;&#1090;&#1095;&#1077;&#1090;%202013%20&#1075;&#1086;&#1076;\&#1088;&#1072;&#1073;&#1086;&#1090;&#1072;%202013\&#1048;&#1085;&#1092;&#1086;&#1088;&#1084;&#1072;&#1094;&#1080;&#1103;%20&#1085;&#1072;%20&#1082;&#1086;&#1083;&#1083;&#1077;&#1075;&#1080;&#1102;.2012\&#1054;&#1090;&#1095;&#1077;&#1090;&#1085;&#1086;&#1089;&#1090;&#1100;2012\&#1044;&#1080;&#1072;&#1075;&#1088;&#1072;&#1084;&#1084;&#1072;%20&#1051;&#1055;%20&#1075;&#1083;&#1072;&#1074;&#1099;.xls" TargetMode="External"/><Relationship Id="rId1" Type="http://schemas.openxmlformats.org/officeDocument/2006/relationships/themeOverride" Target="../theme/themeOverride4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D:\Documents\&#1086;&#1090;&#1095;&#1077;&#1090;&#1099;%20&#1086;&#1073;&#1097;&#1077;&#1077;\&#1086;&#1090;&#1095;&#1077;&#1090;%202013%20&#1075;&#1086;&#1076;\&#1086;&#1090;&#1095;&#1077;&#1090;%202013%20&#1075;&#1086;&#1076;\&#1088;&#1072;&#1073;&#1086;&#1090;&#1072;%202013\&#1048;&#1085;&#1092;&#1086;&#1088;&#1084;&#1072;&#1094;&#1080;&#1103;%20&#1085;&#1072;%20&#1082;&#1086;&#1083;&#1083;&#1077;&#1075;&#1080;&#1102;.2012\&#1054;&#1090;&#1095;&#1077;&#1090;&#1085;&#1086;&#1089;&#1090;&#1100;2012\&#1076;&#1080;&#1072;&#1075;&#1088;&#1072;&#1084;&#1084;&#1072;%20&#1090;&#1077;&#1084;&#1072;&#1090;%202013.xls" TargetMode="External"/><Relationship Id="rId1" Type="http://schemas.openxmlformats.org/officeDocument/2006/relationships/themeOverride" Target="../theme/themeOverride5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D:\Documents\&#1086;&#1090;&#1095;&#1077;&#1090;&#1099;%20&#1086;&#1073;&#1097;&#1077;&#1077;\&#1086;&#1090;&#1095;&#1077;&#1090;%202013%20&#1075;&#1086;&#1076;\&#1086;&#1090;&#1095;&#1077;&#1090;%202013%20&#1075;&#1086;&#1076;\&#1088;&#1072;&#1073;&#1086;&#1090;&#1072;%202013\&#1048;&#1085;&#1092;&#1086;&#1088;&#1084;&#1072;&#1094;&#1080;&#1103;%20&#1085;&#1072;%20&#1082;&#1086;&#1083;&#1083;&#1077;&#1075;&#1080;&#1102;.2012\&#1054;&#1090;&#1095;&#1077;&#1090;&#1085;&#1086;&#1089;&#1090;&#1100;2012\&#1076;&#1080;&#1072;&#1075;&#1088;&#1072;&#1084;&#1084;&#1072;%20&#1090;&#1077;&#1084;&#1072;&#1090;%20&#1088;&#1072;&#1081;&#1086;&#1085;%202013.xls" TargetMode="External"/><Relationship Id="rId1" Type="http://schemas.openxmlformats.org/officeDocument/2006/relationships/themeOverride" Target="../theme/themeOverride6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75827500729092E-2"/>
          <c:y val="0.19413417072865857"/>
          <c:w val="0.5360239865850106"/>
          <c:h val="0.7055808648918885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 w="3170"/>
          </c:spPr>
          <c:explosion val="25"/>
          <c:dPt>
            <c:idx val="0"/>
            <c:bubble3D val="0"/>
          </c:dPt>
          <c:dPt>
            <c:idx val="1"/>
            <c:bubble3D val="0"/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устные обращения</c:v>
                </c:pt>
                <c:pt idx="1">
                  <c:v>письменные  обращения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2125</c:v>
                </c:pt>
                <c:pt idx="1">
                  <c:v>16528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61">
          <a:noFill/>
        </a:ln>
      </c:spPr>
    </c:plotArea>
    <c:legend>
      <c:legendPos val="r"/>
      <c:layout>
        <c:manualLayout>
          <c:xMode val="edge"/>
          <c:yMode val="edge"/>
          <c:x val="0.66617019371680875"/>
          <c:y val="0.42987093854647485"/>
          <c:w val="0.29866787297907327"/>
          <c:h val="0.23941134944338849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распределение</a:t>
            </a:r>
            <a:r>
              <a:rPr lang="ru-RU" sz="1200" baseline="0"/>
              <a:t> поступивших в 2013 году обращений</a:t>
            </a:r>
            <a:endParaRPr lang="ru-RU" sz="1200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758275007290837E-2"/>
          <c:y val="0.19413417072865874"/>
          <c:w val="0.5360239865850106"/>
          <c:h val="0.7055808648918885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 w="3175"/>
          </c:spPr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администрация Красногорского муниципального района</c:v>
                </c:pt>
                <c:pt idx="1">
                  <c:v>администрация  городского поселения Красногорск</c:v>
                </c:pt>
                <c:pt idx="2">
                  <c:v>администрация городского поселения Нахабино</c:v>
                </c:pt>
                <c:pt idx="3">
                  <c:v>администрация сельского поселения Ильинское</c:v>
                </c:pt>
                <c:pt idx="4">
                  <c:v>администрация сельского поселения Отрадненское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8715</c:v>
                </c:pt>
                <c:pt idx="1">
                  <c:v>4903</c:v>
                </c:pt>
                <c:pt idx="2">
                  <c:v>2095</c:v>
                </c:pt>
                <c:pt idx="3">
                  <c:v>1774</c:v>
                </c:pt>
                <c:pt idx="4">
                  <c:v>1166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6617011212821009"/>
          <c:y val="0.14018839669581182"/>
          <c:w val="0.31531138996318042"/>
          <c:h val="0.67061494613786776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Обращения граждан в органы местного самоуправления 
Красногорского муниципального района 2009-2013 г.г.</a:t>
            </a:r>
          </a:p>
        </c:rich>
      </c:tx>
      <c:layout>
        <c:manualLayout>
          <c:xMode val="edge"/>
          <c:yMode val="edge"/>
          <c:x val="0.17073170731707318"/>
          <c:y val="0"/>
        </c:manualLayout>
      </c:layout>
      <c:overlay val="0"/>
      <c:spPr>
        <a:noFill/>
        <a:ln w="25373">
          <a:noFill/>
        </a:ln>
      </c:spPr>
    </c:title>
    <c:autoTitleDeleted val="0"/>
    <c:view3D>
      <c:rotX val="12"/>
      <c:hPercent val="54"/>
      <c:rotY val="44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7503586800573889"/>
          <c:y val="0.20047169811320756"/>
          <c:w val="0.82496413199426111"/>
          <c:h val="0.56132075471698117"/>
        </c:manualLayout>
      </c:layout>
      <c:bar3DChart>
        <c:barDir val="col"/>
        <c:grouping val="clustered"/>
        <c:varyColors val="0"/>
        <c:ser>
          <c:idx val="2"/>
          <c:order val="0"/>
          <c:tx>
            <c:strRef>
              <c:f>Sheet1!$A$2</c:f>
              <c:strCache>
                <c:ptCount val="1"/>
                <c:pt idx="0">
                  <c:v>2009</c:v>
                </c:pt>
              </c:strCache>
            </c:strRef>
          </c:tx>
          <c:spPr>
            <a:solidFill>
              <a:srgbClr val="FFFFCC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8431702724233712E-3"/>
                  <c:y val="0.1047318286370624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8500769477625179E-3"/>
                  <c:y val="7.65268705380177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8571321193910961E-3"/>
                  <c:y val="9.03479076679626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560026602353882E-3"/>
                  <c:y val="1.31558467699146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5479415343690128E-2"/>
                  <c:y val="4.72125098787479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73">
                <a:noFill/>
              </a:ln>
            </c:spPr>
            <c:txPr>
              <a:bodyPr rot="-5400000" vert="horz"/>
              <a:lstStyle/>
              <a:p>
                <a:pPr algn="ctr">
                  <a:defRPr sz="874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адм.района</c:v>
                </c:pt>
                <c:pt idx="1">
                  <c:v>адм.г.п.Красногорск</c:v>
                </c:pt>
                <c:pt idx="2">
                  <c:v>адм.г.п.Нахабино</c:v>
                </c:pt>
                <c:pt idx="3">
                  <c:v>адм.с.п.Ильинское</c:v>
                </c:pt>
                <c:pt idx="4">
                  <c:v>адм.с.п.Отрадненское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8472</c:v>
                </c:pt>
                <c:pt idx="1">
                  <c:v>2137</c:v>
                </c:pt>
                <c:pt idx="2">
                  <c:v>1271</c:v>
                </c:pt>
                <c:pt idx="3">
                  <c:v>725</c:v>
                </c:pt>
                <c:pt idx="4">
                  <c:v>546</c:v>
                </c:pt>
              </c:numCache>
            </c:numRef>
          </c:val>
        </c:ser>
        <c:ser>
          <c:idx val="3"/>
          <c:order val="1"/>
          <c:tx>
            <c:strRef>
              <c:f>Sheet1!$A$3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rgbClr val="CCFFFF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0831958770612427E-3"/>
                  <c:y val="8.69563116844113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0901025524003893E-3"/>
                  <c:y val="8.94966761991026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5318779535841207E-3"/>
                  <c:y val="8.71936230125829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538933125212699E-3"/>
                  <c:y val="7.74020357923914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0458321866548834E-2"/>
                  <c:y val="6.10156231992609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73">
                <a:noFill/>
              </a:ln>
            </c:spPr>
            <c:txPr>
              <a:bodyPr rot="-5400000" vert="horz"/>
              <a:lstStyle/>
              <a:p>
                <a:pPr algn="ctr">
                  <a:defRPr sz="84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адм.района</c:v>
                </c:pt>
                <c:pt idx="1">
                  <c:v>адм.г.п.Красногорск</c:v>
                </c:pt>
                <c:pt idx="2">
                  <c:v>адм.г.п.Нахабино</c:v>
                </c:pt>
                <c:pt idx="3">
                  <c:v>адм.с.п.Ильинское</c:v>
                </c:pt>
                <c:pt idx="4">
                  <c:v>адм.с.п.Отрадненское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6951</c:v>
                </c:pt>
                <c:pt idx="1">
                  <c:v>2182</c:v>
                </c:pt>
                <c:pt idx="2">
                  <c:v>1870</c:v>
                </c:pt>
                <c:pt idx="3">
                  <c:v>1160</c:v>
                </c:pt>
                <c:pt idx="4">
                  <c:v>588</c:v>
                </c:pt>
              </c:numCache>
            </c:numRef>
          </c:val>
        </c:ser>
        <c:ser>
          <c:idx val="4"/>
          <c:order val="2"/>
          <c:tx>
            <c:strRef>
              <c:f>Sheet1!$A$4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rgbClr val="660066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5.5775304320322405E-3"/>
                  <c:y val="0.2365408919137695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825716152785164E-4"/>
                  <c:y val="8.75459853884668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100325627116385E-3"/>
                  <c:y val="6.381400932613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6870729543254646E-3"/>
                  <c:y val="7.31946668565394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7977440537448937E-3"/>
                  <c:y val="-1.09240529352577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73">
                <a:noFill/>
              </a:ln>
            </c:spPr>
            <c:txPr>
              <a:bodyPr rot="-5400000" vert="horz"/>
              <a:lstStyle/>
              <a:p>
                <a:pPr algn="ctr">
                  <a:defRPr sz="112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адм.района</c:v>
                </c:pt>
                <c:pt idx="1">
                  <c:v>адм.г.п.Красногорск</c:v>
                </c:pt>
                <c:pt idx="2">
                  <c:v>адм.г.п.Нахабино</c:v>
                </c:pt>
                <c:pt idx="3">
                  <c:v>адм.с.п.Ильинское</c:v>
                </c:pt>
                <c:pt idx="4">
                  <c:v>адм.с.п.Отрадненское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8288</c:v>
                </c:pt>
                <c:pt idx="1">
                  <c:v>2766</c:v>
                </c:pt>
                <c:pt idx="2">
                  <c:v>1551</c:v>
                </c:pt>
                <c:pt idx="3">
                  <c:v>1511</c:v>
                </c:pt>
                <c:pt idx="4">
                  <c:v>719</c:v>
                </c:pt>
              </c:numCache>
            </c:numRef>
          </c:val>
        </c:ser>
        <c:ser>
          <c:idx val="5"/>
          <c:order val="3"/>
          <c:tx>
            <c:strRef>
              <c:f>Sheet1!$A$5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FF8080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462837101823482E-2"/>
                  <c:y val="1.1297624239453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1765985730752981E-2"/>
                  <c:y val="2.5802324389913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4556249651429236E-2"/>
                  <c:y val="1.72227908516913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4606346429944441E-2"/>
                  <c:y val="6.05899384305508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1743961142462491E-2"/>
                  <c:y val="1.92423128332330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73">
                <a:noFill/>
              </a:ln>
            </c:spPr>
            <c:txPr>
              <a:bodyPr/>
              <a:lstStyle/>
              <a:p>
                <a:pPr>
                  <a:defRPr sz="12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адм.района</c:v>
                </c:pt>
                <c:pt idx="1">
                  <c:v>адм.г.п.Красногорск</c:v>
                </c:pt>
                <c:pt idx="2">
                  <c:v>адм.г.п.Нахабино</c:v>
                </c:pt>
                <c:pt idx="3">
                  <c:v>адм.с.п.Ильинское</c:v>
                </c:pt>
                <c:pt idx="4">
                  <c:v>адм.с.п.Отрадненское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7835</c:v>
                </c:pt>
                <c:pt idx="1">
                  <c:v>3460</c:v>
                </c:pt>
                <c:pt idx="2">
                  <c:v>1714</c:v>
                </c:pt>
                <c:pt idx="3">
                  <c:v>1920</c:v>
                </c:pt>
                <c:pt idx="4">
                  <c:v>1239</c:v>
                </c:pt>
              </c:numCache>
            </c:numRef>
          </c:val>
        </c:ser>
        <c:ser>
          <c:idx val="0"/>
          <c:order val="4"/>
          <c:tx>
            <c:strRef>
              <c:f>Sheet1!$A$6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9999FF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7824510824167767E-2"/>
                  <c:y val="0.1495586758289419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7093478504753898E-3"/>
                  <c:y val="8.29430796956832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1511232516592322E-3"/>
                  <c:y val="9.18896439679671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0635940259729701E-2"/>
                  <c:y val="9.53237274129534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73">
                <a:noFill/>
              </a:ln>
            </c:spPr>
            <c:txPr>
              <a:bodyPr/>
              <a:lstStyle/>
              <a:p>
                <a:pPr>
                  <a:defRPr sz="187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адм.района</c:v>
                </c:pt>
                <c:pt idx="1">
                  <c:v>адм.г.п.Красногорск</c:v>
                </c:pt>
                <c:pt idx="2">
                  <c:v>адм.г.п.Нахабино</c:v>
                </c:pt>
                <c:pt idx="3">
                  <c:v>адм.с.п.Ильинское</c:v>
                </c:pt>
                <c:pt idx="4">
                  <c:v>адм.с.п.Отрадненское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  <c:pt idx="0">
                  <c:v>8715</c:v>
                </c:pt>
                <c:pt idx="1">
                  <c:v>4903</c:v>
                </c:pt>
                <c:pt idx="2">
                  <c:v>2095</c:v>
                </c:pt>
                <c:pt idx="3">
                  <c:v>1774</c:v>
                </c:pt>
                <c:pt idx="4">
                  <c:v>1166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gapDepth val="0"/>
        <c:shape val="box"/>
        <c:axId val="178306560"/>
        <c:axId val="210346560"/>
        <c:axId val="0"/>
      </c:bar3DChart>
      <c:catAx>
        <c:axId val="178306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-288000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103465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0346560"/>
        <c:scaling>
          <c:orientation val="minMax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87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8306560"/>
        <c:crosses val="autoZero"/>
        <c:crossBetween val="between"/>
        <c:majorUnit val="1000"/>
      </c:valAx>
      <c:spPr>
        <a:noFill/>
        <a:ln w="25373">
          <a:noFill/>
        </a:ln>
      </c:spPr>
    </c:plotArea>
    <c:legend>
      <c:legendPos val="r"/>
      <c:layout>
        <c:manualLayout>
          <c:xMode val="edge"/>
          <c:yMode val="edge"/>
          <c:x val="0.91104734576757529"/>
          <c:y val="0.37735849056603776"/>
          <c:w val="8.0344332855093251E-2"/>
          <c:h val="0.23584905660377359"/>
        </c:manualLayout>
      </c:layout>
      <c:overlay val="0"/>
      <c:spPr>
        <a:solidFill>
          <a:srgbClr val="FFFFFF"/>
        </a:solidFill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109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87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920398009950248"/>
          <c:y val="0.10909090909090909"/>
          <c:w val="0.81218905472636815"/>
          <c:h val="0.71818181818181814"/>
        </c:manualLayout>
      </c:layout>
      <c:lineChart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0.16293532338308458"/>
                  <c:y val="0.4818181818181818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Sheet1!$B$1:$K$1</c:f>
              <c:numCache>
                <c:formatCode>General</c:formatCode>
                <c:ptCount val="10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</c:numCache>
            </c:numRef>
          </c:cat>
          <c:val>
            <c:numRef>
              <c:f>Sheet1!$B$2:$K$2</c:f>
              <c:numCache>
                <c:formatCode>General</c:formatCode>
                <c:ptCount val="10"/>
                <c:pt idx="0">
                  <c:v>6556</c:v>
                </c:pt>
                <c:pt idx="1">
                  <c:v>8095</c:v>
                </c:pt>
                <c:pt idx="2">
                  <c:v>8473</c:v>
                </c:pt>
                <c:pt idx="3">
                  <c:v>9696</c:v>
                </c:pt>
                <c:pt idx="4">
                  <c:v>10085</c:v>
                </c:pt>
                <c:pt idx="5">
                  <c:v>13151</c:v>
                </c:pt>
                <c:pt idx="6">
                  <c:v>12751</c:v>
                </c:pt>
                <c:pt idx="7">
                  <c:v>14835</c:v>
                </c:pt>
                <c:pt idx="8">
                  <c:v>16168</c:v>
                </c:pt>
                <c:pt idx="9">
                  <c:v>18685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Sheet1!$B$1:$K$1</c:f>
              <c:numCache>
                <c:formatCode>General</c:formatCode>
                <c:ptCount val="10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</c:numCache>
            </c:numRef>
          </c:cat>
          <c:val>
            <c:numRef>
              <c:f>Sheet1!$B$3:$K$3</c:f>
              <c:numCache>
                <c:formatCode>General</c:formatCode>
                <c:ptCount val="10"/>
              </c:numCache>
            </c:numRef>
          </c:val>
          <c:smooth val="1"/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FF0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Sheet1!$B$1:$K$1</c:f>
              <c:numCache>
                <c:formatCode>General</c:formatCode>
                <c:ptCount val="10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</c:numCache>
            </c:numRef>
          </c:cat>
          <c:val>
            <c:numRef>
              <c:f>Sheet1!$B$4:$K$4</c:f>
              <c:numCache>
                <c:formatCode>General</c:formatCode>
                <c:ptCount val="10"/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2590720"/>
        <c:axId val="210350592"/>
      </c:lineChart>
      <c:catAx>
        <c:axId val="162590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10350592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103505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2590720"/>
        <c:crosses val="autoZero"/>
        <c:crossBetween val="midCat"/>
      </c:valAx>
      <c:spPr>
        <a:solidFill>
          <a:srgbClr val="FFFFFF"/>
        </a:solidFill>
        <a:ln w="25400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4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Итоги рассмотрения обращений граждан
2013 год
</a:t>
            </a:r>
          </a:p>
        </c:rich>
      </c:tx>
      <c:layout>
        <c:manualLayout>
          <c:xMode val="edge"/>
          <c:yMode val="edge"/>
          <c:x val="0.15113893372024148"/>
          <c:y val="4.7923322683706068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34161559753412418"/>
          <c:y val="0.34504846159966179"/>
          <c:w val="0.31677082680436969"/>
          <c:h val="0.48881865393285423"/>
        </c:manualLayout>
      </c:layout>
      <c:doughnut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4.9651367847015501E-2"/>
                  <c:y val="-0.17731007517319133"/>
                </c:manualLayout>
              </c:layout>
              <c:showLegendKey val="1"/>
              <c:showVal val="1"/>
              <c:showCatName val="0"/>
              <c:showSerName val="0"/>
              <c:showPercent val="1"/>
              <c:showBubbleSize val="0"/>
              <c:separator>
</c:separator>
            </c:dLbl>
            <c:dLbl>
              <c:idx val="1"/>
              <c:layout>
                <c:manualLayout>
                  <c:x val="0.15027166525402935"/>
                  <c:y val="2.3293740050891257E-2"/>
                </c:manualLayout>
              </c:layout>
              <c:showLegendKey val="1"/>
              <c:showVal val="1"/>
              <c:showCatName val="0"/>
              <c:showSerName val="0"/>
              <c:showPercent val="1"/>
              <c:showBubbleSize val="0"/>
              <c:separator>
</c:separator>
            </c:dLbl>
            <c:dLbl>
              <c:idx val="2"/>
              <c:layout>
                <c:manualLayout>
                  <c:x val="-0.10440667253903499"/>
                  <c:y val="1.2152170802442186E-2"/>
                </c:manualLayout>
              </c:layout>
              <c:showLegendKey val="1"/>
              <c:showVal val="1"/>
              <c:showCatName val="0"/>
              <c:showSerName val="0"/>
              <c:showPercent val="1"/>
              <c:showBubbleSize val="0"/>
              <c:separator>
</c:separator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 algn="just">
                  <a:defRPr sz="97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1"/>
            <c:showBubbleSize val="0"/>
            <c:separator>
</c:separator>
            <c:showLeaderLines val="0"/>
          </c:dLbls>
          <c:cat>
            <c:strRef>
              <c:f>Лист1!$B$1:$D$1</c:f>
              <c:strCache>
                <c:ptCount val="3"/>
                <c:pt idx="0">
                  <c:v>Удовлетворено</c:v>
                </c:pt>
                <c:pt idx="1">
                  <c:v>Разъяснено</c:v>
                </c:pt>
                <c:pt idx="2">
                  <c:v>Отказано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6804</c:v>
                </c:pt>
                <c:pt idx="1">
                  <c:v>573</c:v>
                </c:pt>
                <c:pt idx="2">
                  <c:v>11276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270"/>
        <c:holeSize val="30"/>
      </c:doughnutChart>
      <c:spPr>
        <a:noFill/>
        <a:ln w="25400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ayout>
        <c:manualLayout>
          <c:xMode val="edge"/>
          <c:yMode val="edge"/>
          <c:x val="0.77294729463164924"/>
          <c:y val="0.29180112869277924"/>
          <c:w val="0.20013911304565191"/>
          <c:h val="0.63045793397231087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7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/>
              <a:t>Личный прием граждан главами</a:t>
            </a:r>
            <a:r>
              <a:rPr lang="ru-RU" baseline="0"/>
              <a:t> администраций </a:t>
            </a:r>
          </a:p>
          <a:p>
            <a:pPr algn="ctr"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 baseline="0"/>
              <a:t>в</a:t>
            </a:r>
            <a:r>
              <a:rPr lang="ru-RU"/>
              <a:t> 2013 г.</a:t>
            </a:r>
          </a:p>
        </c:rich>
      </c:tx>
      <c:layout>
        <c:manualLayout>
          <c:xMode val="edge"/>
          <c:yMode val="edge"/>
          <c:x val="0.13438377684541258"/>
          <c:y val="1.3248783902012248E-2"/>
        </c:manualLayout>
      </c:layout>
      <c:overlay val="0"/>
      <c:spPr>
        <a:noFill/>
        <a:ln w="25400">
          <a:noFill/>
        </a:ln>
      </c:spPr>
    </c:title>
    <c:autoTitleDeleted val="0"/>
    <c:view3D>
      <c:rotX val="0"/>
      <c:rotY val="0"/>
      <c:depthPercent val="100"/>
      <c:rAngAx val="0"/>
      <c:perspective val="30"/>
    </c:view3D>
    <c:floor>
      <c:thickness val="0"/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  <a:bevel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  <a:bevel/>
        </a:ln>
      </c:spPr>
    </c:backWall>
    <c:plotArea>
      <c:layout>
        <c:manualLayout>
          <c:layoutTarget val="inner"/>
          <c:xMode val="edge"/>
          <c:yMode val="edge"/>
          <c:x val="9.795933084122059E-2"/>
          <c:y val="0.21306960629921259"/>
          <c:w val="0.87347025816152957"/>
          <c:h val="0.41786743515850144"/>
        </c:manualLayout>
      </c:layout>
      <c:bar3DChart>
        <c:barDir val="col"/>
        <c:grouping val="clustered"/>
        <c:varyColors val="0"/>
        <c:ser>
          <c:idx val="1"/>
          <c:order val="0"/>
          <c:tx>
            <c:v>2007 г.</c:v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Лист1!$A$20:$A$24</c:f>
              <c:strCache>
                <c:ptCount val="5"/>
                <c:pt idx="0">
                  <c:v>Глава района</c:v>
                </c:pt>
                <c:pt idx="1">
                  <c:v>Глава г.п.Красногорск</c:v>
                </c:pt>
                <c:pt idx="2">
                  <c:v>Глава г.п. Нахабино</c:v>
                </c:pt>
                <c:pt idx="3">
                  <c:v>Глава с.п. Ильинское</c:v>
                </c:pt>
                <c:pt idx="4">
                  <c:v>Глава с.п. Отрадненское</c:v>
                </c:pt>
              </c:strCache>
            </c:strRef>
          </c:cat>
          <c:val>
            <c:numRef>
              <c:f>Лист1!$B$20:$B$24</c:f>
              <c:numCache>
                <c:formatCode>General</c:formatCode>
                <c:ptCount val="5"/>
                <c:pt idx="0">
                  <c:v>247</c:v>
                </c:pt>
                <c:pt idx="1">
                  <c:v>71</c:v>
                </c:pt>
                <c:pt idx="2">
                  <c:v>96</c:v>
                </c:pt>
                <c:pt idx="3">
                  <c:v>82</c:v>
                </c:pt>
                <c:pt idx="4">
                  <c:v>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6614400"/>
        <c:axId val="178324608"/>
        <c:axId val="0"/>
      </c:bar3DChart>
      <c:catAx>
        <c:axId val="176614400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 rtl="0">
              <a:defRPr sz="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7832460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78324608"/>
        <c:scaling>
          <c:orientation val="minMax"/>
        </c:scaling>
        <c:delete val="0"/>
        <c:axPos val="l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7661440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Тематика поступивших обращений граждан в 2013г.</a:t>
            </a:r>
          </a:p>
        </c:rich>
      </c:tx>
      <c:layout>
        <c:manualLayout>
          <c:xMode val="edge"/>
          <c:yMode val="edge"/>
          <c:x val="0.12040848767143544"/>
          <c:y val="2.006706668748559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005397212672359"/>
          <c:y val="0.13649186202999414"/>
          <c:w val="0.84807012679753058"/>
          <c:h val="0.53906954265277751"/>
        </c:manualLayout>
      </c:layout>
      <c:barChart>
        <c:barDir val="col"/>
        <c:grouping val="clustered"/>
        <c:varyColors val="0"/>
        <c:ser>
          <c:idx val="0"/>
          <c:order val="0"/>
          <c:tx>
            <c:v>количество обращений</c:v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3"/>
              <c:layout>
                <c:manualLayout>
                  <c:x val="3.1311154598825879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темат 2013.xls]Лист2'!$A$1:$A$18</c:f>
              <c:strCache>
                <c:ptCount val="18"/>
                <c:pt idx="0">
                  <c:v>Землепользов.</c:v>
                </c:pt>
                <c:pt idx="1">
                  <c:v>Ком.хозяйство</c:v>
                </c:pt>
                <c:pt idx="2">
                  <c:v>Строительст.</c:v>
                </c:pt>
                <c:pt idx="3">
                  <c:v>Жилищные вопросы</c:v>
                </c:pt>
                <c:pt idx="4">
                  <c:v>Образование</c:v>
                </c:pt>
                <c:pt idx="5">
                  <c:v>Транспорт</c:v>
                </c:pt>
                <c:pt idx="6">
                  <c:v>Здравоохран.</c:v>
                </c:pt>
                <c:pt idx="7">
                  <c:v>Связь</c:v>
                </c:pt>
                <c:pt idx="8">
                  <c:v>Местн.самоуправ.</c:v>
                </c:pt>
                <c:pt idx="9">
                  <c:v>Соц. обеспеч.</c:v>
                </c:pt>
                <c:pt idx="10">
                  <c:v>Адм. органы</c:v>
                </c:pt>
                <c:pt idx="11">
                  <c:v>Торговля </c:v>
                </c:pt>
                <c:pt idx="12">
                  <c:v>Культура,спорт</c:v>
                </c:pt>
                <c:pt idx="13">
                  <c:v>иные вопросы</c:v>
                </c:pt>
                <c:pt idx="14">
                  <c:v> Эконом. и фин.</c:v>
                </c:pt>
                <c:pt idx="15">
                  <c:v>Труд</c:v>
                </c:pt>
                <c:pt idx="16">
                  <c:v>Сел. хозяйство</c:v>
                </c:pt>
                <c:pt idx="17">
                  <c:v>промышл.</c:v>
                </c:pt>
              </c:strCache>
            </c:strRef>
          </c:cat>
          <c:val>
            <c:numRef>
              <c:f>'[диаграмма темат 2013.xls]Лист2'!$B$1:$B$18</c:f>
              <c:numCache>
                <c:formatCode>General</c:formatCode>
                <c:ptCount val="18"/>
                <c:pt idx="0">
                  <c:v>5938</c:v>
                </c:pt>
                <c:pt idx="1">
                  <c:v>3634</c:v>
                </c:pt>
                <c:pt idx="2">
                  <c:v>3624</c:v>
                </c:pt>
                <c:pt idx="3">
                  <c:v>2702</c:v>
                </c:pt>
                <c:pt idx="4">
                  <c:v>606</c:v>
                </c:pt>
                <c:pt idx="5">
                  <c:v>506</c:v>
                </c:pt>
                <c:pt idx="6">
                  <c:v>299</c:v>
                </c:pt>
                <c:pt idx="7">
                  <c:v>235</c:v>
                </c:pt>
                <c:pt idx="8">
                  <c:v>234</c:v>
                </c:pt>
                <c:pt idx="9">
                  <c:v>230</c:v>
                </c:pt>
                <c:pt idx="10">
                  <c:v>204</c:v>
                </c:pt>
                <c:pt idx="11">
                  <c:v>174</c:v>
                </c:pt>
                <c:pt idx="12">
                  <c:v>111</c:v>
                </c:pt>
                <c:pt idx="13">
                  <c:v>64</c:v>
                </c:pt>
                <c:pt idx="14">
                  <c:v>60</c:v>
                </c:pt>
                <c:pt idx="15">
                  <c:v>30</c:v>
                </c:pt>
                <c:pt idx="16">
                  <c:v>1</c:v>
                </c:pt>
                <c:pt idx="1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1411072"/>
        <c:axId val="210352320"/>
      </c:barChart>
      <c:catAx>
        <c:axId val="161411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103523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035232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1411072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41020442867176815"/>
          <c:y val="0.90300997077914835"/>
          <c:w val="0.31428597833721489"/>
          <c:h val="7.6922962533366057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17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132954556801501"/>
          <c:y val="0.38080495356037153"/>
          <c:w val="0.44785365512696335"/>
          <c:h val="0.26934984520123839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1"/>
            <c:bubble3D val="0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2"/>
            <c:bubble3D val="0"/>
            <c:spPr>
              <a:solidFill>
                <a:srgbClr val="8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3"/>
            <c:bubble3D val="0"/>
            <c:spPr>
              <a:solidFill>
                <a:srgbClr val="80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4"/>
            <c:bubble3D val="0"/>
            <c:spPr>
              <a:solidFill>
                <a:srgbClr val="00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5"/>
            <c:bubble3D val="0"/>
            <c:spPr>
              <a:solidFill>
                <a:srgbClr val="00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6"/>
            <c:bubble3D val="0"/>
          </c:dPt>
          <c:dPt>
            <c:idx val="17"/>
            <c:bubble3D val="0"/>
          </c:dPt>
          <c:dLbls>
            <c:dLbl>
              <c:idx val="0"/>
              <c:layout>
                <c:manualLayout>
                  <c:x val="-6.6228777240408404E-3"/>
                  <c:y val="4.825878295556063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2.6252581371491081E-2"/>
                  <c:y val="-9.802090042174807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5002606907639082"/>
                  <c:y val="-0.2411038857609817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5.7641682596991269E-2"/>
                  <c:y val="-0.1865366519587528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9111413103818875"/>
                  <c:y val="-8.088892582358610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0.28038690595147686"/>
                  <c:y val="-0.1931232210749381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0.33769766088883557"/>
                  <c:y val="-1.965359870913233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0.38374781832473986"/>
                  <c:y val="6.72647317502198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0.11360343916401312"/>
                  <c:y val="7.008524989785247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0.27408271935551204"/>
                  <c:y val="0.1022763315535426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0.15365215794596457"/>
                  <c:y val="0.2039121425611272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1"/>
              <c:layout>
                <c:manualLayout>
                  <c:x val="1.7323722859515656E-2"/>
                  <c:y val="0.2352282218020900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2"/>
              <c:layout>
                <c:manualLayout>
                  <c:x val="-7.5835255678170635E-2"/>
                  <c:y val="0.2415644019729731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3"/>
              <c:layout>
                <c:manualLayout>
                  <c:x val="-0.14235225672933016"/>
                  <c:y val="0.1272731805621922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4"/>
              <c:layout>
                <c:manualLayout>
                  <c:x val="-0.33486288673515413"/>
                  <c:y val="0.1849722499857796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5"/>
              <c:layout>
                <c:manualLayout>
                  <c:x val="-0.2311356258132708"/>
                  <c:y val="2.736057728931640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6"/>
              <c:layout>
                <c:manualLayout>
                  <c:x val="-0.33053403857512736"/>
                  <c:y val="-2.255666590488853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7"/>
              <c:layout>
                <c:manualLayout>
                  <c:x val="0.15541922290388549"/>
                  <c:y val="0.2641898864809081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%" sourceLinked="0"/>
            <c:txPr>
              <a:bodyPr/>
              <a:lstStyle/>
              <a:p>
                <a:pPr>
                  <a:defRPr baseline="0"/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Лист2!$A$1:$A$18</c:f>
              <c:strCache>
                <c:ptCount val="18"/>
                <c:pt idx="0">
                  <c:v>Землепользов.</c:v>
                </c:pt>
                <c:pt idx="1">
                  <c:v>Строительство</c:v>
                </c:pt>
                <c:pt idx="2">
                  <c:v>Образование</c:v>
                </c:pt>
                <c:pt idx="3">
                  <c:v>Жилищные вопросы</c:v>
                </c:pt>
                <c:pt idx="4">
                  <c:v>Ком.хозяйство</c:v>
                </c:pt>
                <c:pt idx="5">
                  <c:v>Транспорт</c:v>
                </c:pt>
                <c:pt idx="6">
                  <c:v>Здравоохрание</c:v>
                </c:pt>
                <c:pt idx="7">
                  <c:v>Адм. органы</c:v>
                </c:pt>
                <c:pt idx="8">
                  <c:v>Соц. обеспеч.</c:v>
                </c:pt>
                <c:pt idx="9">
                  <c:v>Торговля </c:v>
                </c:pt>
                <c:pt idx="10">
                  <c:v>Культура,спорт</c:v>
                </c:pt>
                <c:pt idx="11">
                  <c:v>Связь</c:v>
                </c:pt>
                <c:pt idx="12">
                  <c:v>Труд</c:v>
                </c:pt>
                <c:pt idx="13">
                  <c:v>Местн.самоуправ.</c:v>
                </c:pt>
                <c:pt idx="14">
                  <c:v>Иные вопросы</c:v>
                </c:pt>
                <c:pt idx="15">
                  <c:v>Эконом. и фин.</c:v>
                </c:pt>
                <c:pt idx="16">
                  <c:v>Промышл.</c:v>
                </c:pt>
                <c:pt idx="17">
                  <c:v>Сел. хозяйство</c:v>
                </c:pt>
              </c:strCache>
            </c:strRef>
          </c:cat>
          <c:val>
            <c:numRef>
              <c:f>Лист2!$B$1:$B$18</c:f>
              <c:numCache>
                <c:formatCode>General</c:formatCode>
                <c:ptCount val="18"/>
                <c:pt idx="0">
                  <c:v>5254</c:v>
                </c:pt>
                <c:pt idx="1">
                  <c:v>1009</c:v>
                </c:pt>
                <c:pt idx="2">
                  <c:v>591</c:v>
                </c:pt>
                <c:pt idx="3">
                  <c:v>572</c:v>
                </c:pt>
                <c:pt idx="4">
                  <c:v>473</c:v>
                </c:pt>
                <c:pt idx="5">
                  <c:v>235</c:v>
                </c:pt>
                <c:pt idx="6">
                  <c:v>230</c:v>
                </c:pt>
                <c:pt idx="7">
                  <c:v>114</c:v>
                </c:pt>
                <c:pt idx="8">
                  <c:v>80</c:v>
                </c:pt>
                <c:pt idx="9">
                  <c:v>44</c:v>
                </c:pt>
                <c:pt idx="10">
                  <c:v>43</c:v>
                </c:pt>
                <c:pt idx="11">
                  <c:v>27</c:v>
                </c:pt>
                <c:pt idx="12">
                  <c:v>26</c:v>
                </c:pt>
                <c:pt idx="13">
                  <c:v>5</c:v>
                </c:pt>
                <c:pt idx="14">
                  <c:v>5</c:v>
                </c:pt>
                <c:pt idx="15">
                  <c:v>5</c:v>
                </c:pt>
                <c:pt idx="16">
                  <c:v>1</c:v>
                </c:pt>
                <c:pt idx="1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8935897119443538E-2"/>
          <c:y val="2.8196875390576179E-2"/>
          <c:w val="0.59909016858786057"/>
          <c:h val="0.889312035995500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землепользование</c:v>
                </c:pt>
              </c:strCache>
            </c:strRef>
          </c:tx>
          <c:invertIfNegative val="0"/>
          <c:cat>
            <c:numRef>
              <c:f>Лист1!$A$2:$A$10</c:f>
              <c:numCache>
                <c:formatCode>General</c:formatCode>
                <c:ptCount val="9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</c:numCache>
            </c:num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2695</c:v>
                </c:pt>
                <c:pt idx="1">
                  <c:v>2763</c:v>
                </c:pt>
                <c:pt idx="2">
                  <c:v>3287</c:v>
                </c:pt>
                <c:pt idx="3">
                  <c:v>3133</c:v>
                </c:pt>
                <c:pt idx="4">
                  <c:v>4399</c:v>
                </c:pt>
                <c:pt idx="5">
                  <c:v>3815</c:v>
                </c:pt>
                <c:pt idx="6">
                  <c:v>5026</c:v>
                </c:pt>
                <c:pt idx="7">
                  <c:v>5621</c:v>
                </c:pt>
                <c:pt idx="8">
                  <c:v>5938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строительство</c:v>
                </c:pt>
              </c:strCache>
            </c:strRef>
          </c:tx>
          <c:invertIfNegative val="0"/>
          <c:cat>
            <c:numRef>
              <c:f>Лист1!$A$2:$A$10</c:f>
              <c:numCache>
                <c:formatCode>General</c:formatCode>
                <c:ptCount val="9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</c:numCache>
            </c:num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2776</c:v>
                </c:pt>
                <c:pt idx="1">
                  <c:v>3098</c:v>
                </c:pt>
                <c:pt idx="2">
                  <c:v>2751</c:v>
                </c:pt>
                <c:pt idx="3">
                  <c:v>3023</c:v>
                </c:pt>
                <c:pt idx="4">
                  <c:v>2986</c:v>
                </c:pt>
                <c:pt idx="5">
                  <c:v>2568</c:v>
                </c:pt>
                <c:pt idx="6">
                  <c:v>3186</c:v>
                </c:pt>
                <c:pt idx="7">
                  <c:v>3331</c:v>
                </c:pt>
                <c:pt idx="8">
                  <c:v>3624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жилищные вопросы</c:v>
                </c:pt>
              </c:strCache>
            </c:strRef>
          </c:tx>
          <c:invertIfNegative val="0"/>
          <c:cat>
            <c:numRef>
              <c:f>Лист1!$A$2:$A$10</c:f>
              <c:numCache>
                <c:formatCode>General</c:formatCode>
                <c:ptCount val="9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</c:numCache>
            </c:num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1246</c:v>
                </c:pt>
                <c:pt idx="1">
                  <c:v>1239</c:v>
                </c:pt>
                <c:pt idx="2">
                  <c:v>1292</c:v>
                </c:pt>
                <c:pt idx="3">
                  <c:v>1325</c:v>
                </c:pt>
                <c:pt idx="4">
                  <c:v>2931</c:v>
                </c:pt>
                <c:pt idx="5">
                  <c:v>2855</c:v>
                </c:pt>
                <c:pt idx="6">
                  <c:v>2530</c:v>
                </c:pt>
                <c:pt idx="7">
                  <c:v>2702</c:v>
                </c:pt>
                <c:pt idx="8">
                  <c:v>2702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коммунальное и дорожное хозяйство</c:v>
                </c:pt>
              </c:strCache>
            </c:strRef>
          </c:tx>
          <c:invertIfNegative val="0"/>
          <c:cat>
            <c:numRef>
              <c:f>Лист1!$A$2:$A$10</c:f>
              <c:numCache>
                <c:formatCode>General</c:formatCode>
                <c:ptCount val="9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</c:numCache>
            </c:num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454</c:v>
                </c:pt>
                <c:pt idx="1">
                  <c:v>495</c:v>
                </c:pt>
                <c:pt idx="2">
                  <c:v>1187</c:v>
                </c:pt>
                <c:pt idx="3">
                  <c:v>1346</c:v>
                </c:pt>
                <c:pt idx="4">
                  <c:v>1458</c:v>
                </c:pt>
                <c:pt idx="5">
                  <c:v>2250</c:v>
                </c:pt>
                <c:pt idx="6">
                  <c:v>2546</c:v>
                </c:pt>
                <c:pt idx="7">
                  <c:v>2689</c:v>
                </c:pt>
                <c:pt idx="8">
                  <c:v>3634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торговля и бытовое обслуживание</c:v>
                </c:pt>
              </c:strCache>
            </c:strRef>
          </c:tx>
          <c:invertIfNegative val="0"/>
          <c:trendline>
            <c:trendlineType val="linear"/>
            <c:dispRSqr val="0"/>
            <c:dispEq val="0"/>
          </c:trendline>
          <c:cat>
            <c:numRef>
              <c:f>Лист1!$A$2:$A$10</c:f>
              <c:numCache>
                <c:formatCode>General</c:formatCode>
                <c:ptCount val="9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</c:numCache>
            </c:numRef>
          </c:cat>
          <c:val>
            <c:numRef>
              <c:f>Лист1!$F$2:$F$10</c:f>
              <c:numCache>
                <c:formatCode>General</c:formatCode>
                <c:ptCount val="9"/>
                <c:pt idx="0">
                  <c:v>14</c:v>
                </c:pt>
                <c:pt idx="1">
                  <c:v>12</c:v>
                </c:pt>
                <c:pt idx="2">
                  <c:v>415</c:v>
                </c:pt>
                <c:pt idx="3">
                  <c:v>288</c:v>
                </c:pt>
                <c:pt idx="4">
                  <c:v>309</c:v>
                </c:pt>
                <c:pt idx="5">
                  <c:v>281</c:v>
                </c:pt>
                <c:pt idx="6">
                  <c:v>245</c:v>
                </c:pt>
                <c:pt idx="7">
                  <c:v>157</c:v>
                </c:pt>
                <c:pt idx="8">
                  <c:v>174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социальное обеспечение</c:v>
                </c:pt>
              </c:strCache>
            </c:strRef>
          </c:tx>
          <c:invertIfNegative val="0"/>
          <c:cat>
            <c:numRef>
              <c:f>Лист1!$A$2:$A$10</c:f>
              <c:numCache>
                <c:formatCode>General</c:formatCode>
                <c:ptCount val="9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</c:numCache>
            </c:numRef>
          </c:cat>
          <c:val>
            <c:numRef>
              <c:f>Лист1!$G$2:$G$10</c:f>
              <c:numCache>
                <c:formatCode>General</c:formatCode>
                <c:ptCount val="9"/>
                <c:pt idx="0">
                  <c:v>327</c:v>
                </c:pt>
                <c:pt idx="1">
                  <c:v>376</c:v>
                </c:pt>
                <c:pt idx="2">
                  <c:v>320</c:v>
                </c:pt>
                <c:pt idx="3">
                  <c:v>265</c:v>
                </c:pt>
                <c:pt idx="4">
                  <c:v>214</c:v>
                </c:pt>
                <c:pt idx="5">
                  <c:v>101</c:v>
                </c:pt>
                <c:pt idx="6">
                  <c:v>110</c:v>
                </c:pt>
                <c:pt idx="7">
                  <c:v>162</c:v>
                </c:pt>
                <c:pt idx="8">
                  <c:v>230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здравоохранение</c:v>
                </c:pt>
              </c:strCache>
            </c:strRef>
          </c:tx>
          <c:invertIfNegative val="0"/>
          <c:cat>
            <c:numRef>
              <c:f>Лист1!$A$2:$A$10</c:f>
              <c:numCache>
                <c:formatCode>General</c:formatCode>
                <c:ptCount val="9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</c:numCache>
            </c:numRef>
          </c:cat>
          <c:val>
            <c:numRef>
              <c:f>Лист1!$H$2:$H$10</c:f>
              <c:numCache>
                <c:formatCode>General</c:formatCode>
                <c:ptCount val="9"/>
                <c:pt idx="0">
                  <c:v>37</c:v>
                </c:pt>
                <c:pt idx="1">
                  <c:v>9</c:v>
                </c:pt>
                <c:pt idx="2">
                  <c:v>63</c:v>
                </c:pt>
                <c:pt idx="3">
                  <c:v>135</c:v>
                </c:pt>
                <c:pt idx="4">
                  <c:v>260</c:v>
                </c:pt>
                <c:pt idx="5">
                  <c:v>263</c:v>
                </c:pt>
                <c:pt idx="6">
                  <c:v>280</c:v>
                </c:pt>
                <c:pt idx="7">
                  <c:v>277</c:v>
                </c:pt>
                <c:pt idx="8">
                  <c:v>299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образование</c:v>
                </c:pt>
              </c:strCache>
            </c:strRef>
          </c:tx>
          <c:invertIfNegative val="0"/>
          <c:cat>
            <c:numRef>
              <c:f>Лист1!$A$2:$A$10</c:f>
              <c:numCache>
                <c:formatCode>General</c:formatCode>
                <c:ptCount val="9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</c:numCache>
            </c:numRef>
          </c:cat>
          <c:val>
            <c:numRef>
              <c:f>Лист1!$I$2:$I$10</c:f>
              <c:numCache>
                <c:formatCode>General</c:formatCode>
                <c:ptCount val="9"/>
                <c:pt idx="0">
                  <c:v>40</c:v>
                </c:pt>
                <c:pt idx="1">
                  <c:v>18</c:v>
                </c:pt>
                <c:pt idx="2">
                  <c:v>93</c:v>
                </c:pt>
                <c:pt idx="3">
                  <c:v>109</c:v>
                </c:pt>
                <c:pt idx="4">
                  <c:v>98</c:v>
                </c:pt>
                <c:pt idx="5">
                  <c:v>165</c:v>
                </c:pt>
                <c:pt idx="6">
                  <c:v>367</c:v>
                </c:pt>
                <c:pt idx="7">
                  <c:v>532</c:v>
                </c:pt>
                <c:pt idx="8">
                  <c:v>606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культура,наука,спорт,</c:v>
                </c:pt>
              </c:strCache>
            </c:strRef>
          </c:tx>
          <c:invertIfNegative val="0"/>
          <c:cat>
            <c:numRef>
              <c:f>Лист1!$A$2:$A$10</c:f>
              <c:numCache>
                <c:formatCode>General</c:formatCode>
                <c:ptCount val="9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</c:numCache>
            </c:numRef>
          </c:cat>
          <c:val>
            <c:numRef>
              <c:f>Лист1!$J$2:$J$10</c:f>
              <c:numCache>
                <c:formatCode>General</c:formatCode>
                <c:ptCount val="9"/>
                <c:pt idx="0">
                  <c:v>14</c:v>
                </c:pt>
                <c:pt idx="1">
                  <c:v>20</c:v>
                </c:pt>
                <c:pt idx="2">
                  <c:v>52</c:v>
                </c:pt>
                <c:pt idx="3">
                  <c:v>57</c:v>
                </c:pt>
                <c:pt idx="4">
                  <c:v>101</c:v>
                </c:pt>
                <c:pt idx="5">
                  <c:v>54</c:v>
                </c:pt>
                <c:pt idx="6">
                  <c:v>46</c:v>
                </c:pt>
                <c:pt idx="7">
                  <c:v>80</c:v>
                </c:pt>
                <c:pt idx="8">
                  <c:v>111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адм.органы</c:v>
                </c:pt>
              </c:strCache>
            </c:strRef>
          </c:tx>
          <c:invertIfNegative val="0"/>
          <c:cat>
            <c:numRef>
              <c:f>Лист1!$A$2:$A$10</c:f>
              <c:numCache>
                <c:formatCode>General</c:formatCode>
                <c:ptCount val="9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</c:numCache>
            </c:numRef>
          </c:cat>
          <c:val>
            <c:numRef>
              <c:f>Лист1!$K$2:$K$10</c:f>
              <c:numCache>
                <c:formatCode>General</c:formatCode>
                <c:ptCount val="9"/>
                <c:pt idx="0">
                  <c:v>293</c:v>
                </c:pt>
                <c:pt idx="1">
                  <c:v>263</c:v>
                </c:pt>
                <c:pt idx="2">
                  <c:v>42</c:v>
                </c:pt>
                <c:pt idx="3">
                  <c:v>112</c:v>
                </c:pt>
                <c:pt idx="4">
                  <c:v>204</c:v>
                </c:pt>
                <c:pt idx="5">
                  <c:v>156</c:v>
                </c:pt>
                <c:pt idx="6">
                  <c:v>192</c:v>
                </c:pt>
                <c:pt idx="7">
                  <c:v>147</c:v>
                </c:pt>
                <c:pt idx="8">
                  <c:v>204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транспорт</c:v>
                </c:pt>
              </c:strCache>
            </c:strRef>
          </c:tx>
          <c:invertIfNegative val="0"/>
          <c:cat>
            <c:numRef>
              <c:f>Лист1!$A$2:$A$10</c:f>
              <c:numCache>
                <c:formatCode>General</c:formatCode>
                <c:ptCount val="9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</c:numCache>
            </c:numRef>
          </c:cat>
          <c:val>
            <c:numRef>
              <c:f>Лист1!$L$2:$L$10</c:f>
              <c:numCache>
                <c:formatCode>General</c:formatCode>
                <c:ptCount val="9"/>
                <c:pt idx="0">
                  <c:v>29</c:v>
                </c:pt>
                <c:pt idx="1">
                  <c:v>12</c:v>
                </c:pt>
                <c:pt idx="2">
                  <c:v>62</c:v>
                </c:pt>
                <c:pt idx="3">
                  <c:v>62</c:v>
                </c:pt>
                <c:pt idx="4">
                  <c:v>56</c:v>
                </c:pt>
                <c:pt idx="5">
                  <c:v>281</c:v>
                </c:pt>
                <c:pt idx="6">
                  <c:v>76</c:v>
                </c:pt>
                <c:pt idx="7">
                  <c:v>116</c:v>
                </c:pt>
                <c:pt idx="8">
                  <c:v>506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связь</c:v>
                </c:pt>
              </c:strCache>
            </c:strRef>
          </c:tx>
          <c:invertIfNegative val="0"/>
          <c:cat>
            <c:numRef>
              <c:f>Лист1!$A$2:$A$10</c:f>
              <c:numCache>
                <c:formatCode>General</c:formatCode>
                <c:ptCount val="9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</c:numCache>
            </c:numRef>
          </c:cat>
          <c:val>
            <c:numRef>
              <c:f>Лист1!$M$2:$M$10</c:f>
              <c:numCache>
                <c:formatCode>General</c:formatCode>
                <c:ptCount val="9"/>
                <c:pt idx="0">
                  <c:v>52</c:v>
                </c:pt>
                <c:pt idx="1">
                  <c:v>42</c:v>
                </c:pt>
                <c:pt idx="2">
                  <c:v>48</c:v>
                </c:pt>
                <c:pt idx="3">
                  <c:v>69</c:v>
                </c:pt>
                <c:pt idx="4">
                  <c:v>79</c:v>
                </c:pt>
                <c:pt idx="5">
                  <c:v>104</c:v>
                </c:pt>
                <c:pt idx="6">
                  <c:v>121</c:v>
                </c:pt>
                <c:pt idx="7">
                  <c:v>154</c:v>
                </c:pt>
                <c:pt idx="8">
                  <c:v>235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деят.органов самоуправ.</c:v>
                </c:pt>
              </c:strCache>
            </c:strRef>
          </c:tx>
          <c:invertIfNegative val="0"/>
          <c:cat>
            <c:numRef>
              <c:f>Лист1!$A$2:$A$10</c:f>
              <c:numCache>
                <c:formatCode>General</c:formatCode>
                <c:ptCount val="9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</c:numCache>
            </c:numRef>
          </c:cat>
          <c:val>
            <c:numRef>
              <c:f>Лист1!$N$2:$N$10</c:f>
              <c:numCache>
                <c:formatCode>General</c:formatCode>
                <c:ptCount val="9"/>
                <c:pt idx="0">
                  <c:v>77</c:v>
                </c:pt>
                <c:pt idx="1">
                  <c:v>114</c:v>
                </c:pt>
                <c:pt idx="2">
                  <c:v>54</c:v>
                </c:pt>
                <c:pt idx="3">
                  <c:v>81</c:v>
                </c:pt>
                <c:pt idx="4">
                  <c:v>7</c:v>
                </c:pt>
                <c:pt idx="5">
                  <c:v>14</c:v>
                </c:pt>
                <c:pt idx="6">
                  <c:v>23</c:v>
                </c:pt>
                <c:pt idx="7">
                  <c:v>74</c:v>
                </c:pt>
                <c:pt idx="8">
                  <c:v>234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2594304"/>
        <c:axId val="178328640"/>
      </c:barChart>
      <c:catAx>
        <c:axId val="162594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8328640"/>
        <c:crosses val="autoZero"/>
        <c:auto val="1"/>
        <c:lblAlgn val="ctr"/>
        <c:lblOffset val="100"/>
        <c:noMultiLvlLbl val="0"/>
      </c:catAx>
      <c:valAx>
        <c:axId val="178328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25943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wMode val="edge"/>
          <c:hMode val="edge"/>
          <c:x val="0.69433706137051343"/>
          <c:y val="0.14191738654027469"/>
          <c:w val="0.98080010699299536"/>
          <c:h val="0.84792355324516477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04141-36CF-45A6-A54D-577ABA35B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</vt:lpstr>
    </vt:vector>
  </TitlesOfParts>
  <Company/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</dc:title>
  <dc:creator>Елена</dc:creator>
  <cp:lastModifiedBy>Новиков И</cp:lastModifiedBy>
  <cp:revision>2</cp:revision>
  <cp:lastPrinted>2014-02-03T13:05:00Z</cp:lastPrinted>
  <dcterms:created xsi:type="dcterms:W3CDTF">2014-02-25T13:50:00Z</dcterms:created>
  <dcterms:modified xsi:type="dcterms:W3CDTF">2014-02-25T13:50:00Z</dcterms:modified>
</cp:coreProperties>
</file>